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977436" w:rsidP="00917A22" w14:paraId="740EE539" w14:textId="3985CEB3">
      <w:pPr>
        <w:rPr>
          <w:rFonts w:ascii="Arial" w:hAnsi="Arial" w:cs="Arial"/>
          <w:sz w:val="20"/>
        </w:rPr>
        <w:sectPr w:rsidSect="00E541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titlePg/>
        </w:sectPr>
      </w:pPr>
    </w:p>
    <w:p w:rsidR="00FB16A6" w:rsidRPr="00CB3283" w:rsidP="00CB3283" w14:paraId="5A52B7A5" w14:textId="5879DE85">
      <w:pPr>
        <w:pStyle w:val="SectionHeading"/>
        <w:numPr>
          <w:ilvl w:val="0"/>
          <w:numId w:val="25"/>
        </w:numPr>
        <w:spacing w:after="240"/>
        <w:ind w:left="720" w:hanging="720"/>
        <w:rPr>
          <w:color w:val="365F91" w:themeColor="accent1" w:themeShade="BF"/>
          <w:sz w:val="28"/>
          <w:szCs w:val="28"/>
        </w:rPr>
        <w:sectPr w:rsidSect="00641FF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cols w:space="720"/>
          <w:titlePg/>
        </w:sectPr>
      </w:pPr>
      <w:r w:rsidRPr="00CB3283">
        <w:rPr>
          <w:color w:val="365F91" w:themeColor="accent1" w:themeShade="BF"/>
          <w:sz w:val="28"/>
          <w:szCs w:val="28"/>
        </w:rPr>
        <w:t>Scop</w:t>
      </w:r>
      <w:r w:rsidRPr="00CB3283" w:rsidR="0059291B">
        <w:rPr>
          <w:color w:val="365F91" w:themeColor="accent1" w:themeShade="BF"/>
          <w:sz w:val="28"/>
          <w:szCs w:val="28"/>
        </w:rPr>
        <w:t>e</w:t>
      </w:r>
    </w:p>
    <w:p w:rsidR="005214FC" w:rsidRPr="00977436" w:rsidP="0059291B" w14:paraId="5DF4238D" w14:textId="30A1107F">
      <w:pPr>
        <w:tabs>
          <w:tab w:val="left" w:pos="990"/>
        </w:tabs>
        <w:spacing w:line="276" w:lineRule="auto"/>
        <w:ind w:left="720"/>
        <w:rPr>
          <w:rFonts w:ascii="Arial" w:hAnsi="Arial" w:eastAsiaTheme="minorEastAsia" w:cs="Arial"/>
          <w:sz w:val="20"/>
        </w:rPr>
      </w:pPr>
      <w:r w:rsidRPr="00977436">
        <w:rPr>
          <w:rFonts w:ascii="Arial" w:hAnsi="Arial" w:cs="Arial"/>
          <w:sz w:val="20"/>
        </w:rPr>
        <w:t xml:space="preserve">This standard operating procedure applies to all clinical trials where a </w:t>
      </w:r>
      <w:r w:rsidR="00FB3631">
        <w:rPr>
          <w:rFonts w:ascii="Arial" w:hAnsi="Arial" w:cs="Arial"/>
          <w:sz w:val="20"/>
        </w:rPr>
        <w:t>Yale Center for Clinical Investigation</w:t>
      </w:r>
      <w:r w:rsidRPr="00606EC7" w:rsidR="00FB3631">
        <w:rPr>
          <w:rFonts w:ascii="Arial" w:hAnsi="Arial" w:cs="Arial"/>
          <w:sz w:val="20"/>
        </w:rPr>
        <w:t xml:space="preserve"> </w:t>
      </w:r>
      <w:r w:rsidR="00FB3631">
        <w:rPr>
          <w:rFonts w:ascii="Arial" w:hAnsi="Arial" w:cs="Arial"/>
          <w:sz w:val="20"/>
        </w:rPr>
        <w:t>(</w:t>
      </w:r>
      <w:r w:rsidRPr="00606EC7" w:rsidR="00FB3631">
        <w:rPr>
          <w:rFonts w:ascii="Arial" w:hAnsi="Arial" w:cs="Arial"/>
          <w:sz w:val="20"/>
        </w:rPr>
        <w:t>YCCI</w:t>
      </w:r>
      <w:r w:rsidR="00FB3631">
        <w:rPr>
          <w:rFonts w:ascii="Arial" w:hAnsi="Arial" w:cs="Arial"/>
          <w:sz w:val="20"/>
        </w:rPr>
        <w:t>)</w:t>
      </w:r>
      <w:r w:rsidRPr="00977436">
        <w:rPr>
          <w:rFonts w:ascii="Arial" w:hAnsi="Arial" w:cs="Arial"/>
          <w:sz w:val="20"/>
        </w:rPr>
        <w:t xml:space="preserve"> Study Monitor has been designated responsibility for site monitoring by the Sponsor, Sponsor Investigator or Principal Investigator.</w:t>
      </w:r>
      <w:r w:rsidRPr="00977436">
        <w:rPr>
          <w:rFonts w:ascii="Arial" w:hAnsi="Arial" w:eastAsiaTheme="minorEastAsia" w:cs="Arial"/>
          <w:sz w:val="20"/>
        </w:rPr>
        <w:tab/>
      </w:r>
    </w:p>
    <w:p w:rsidR="00977436" w:rsidRPr="00CB3283" w:rsidP="0059291B" w14:paraId="42CA82D2" w14:textId="31489573">
      <w:pPr>
        <w:pStyle w:val="SectionHeading"/>
        <w:numPr>
          <w:ilvl w:val="0"/>
          <w:numId w:val="25"/>
        </w:numPr>
        <w:spacing w:before="240" w:after="240" w:line="276" w:lineRule="auto"/>
        <w:ind w:left="720" w:hanging="720"/>
        <w:rPr>
          <w:color w:val="365F91" w:themeColor="accent1" w:themeShade="BF"/>
          <w:sz w:val="28"/>
          <w:szCs w:val="28"/>
        </w:rPr>
      </w:pPr>
      <w:r w:rsidRPr="00CB3283">
        <w:rPr>
          <w:color w:val="365F91" w:themeColor="accent1" w:themeShade="BF"/>
          <w:sz w:val="28"/>
          <w:szCs w:val="28"/>
        </w:rPr>
        <w:t xml:space="preserve">Purpose </w:t>
      </w:r>
    </w:p>
    <w:p w:rsidR="00977436" w:rsidRPr="00977436" w:rsidP="001873FB" w14:paraId="6E097CEA" w14:textId="7A0DDC20">
      <w:pPr>
        <w:spacing w:line="276" w:lineRule="auto"/>
        <w:ind w:left="720"/>
        <w:rPr>
          <w:rFonts w:ascii="Arial" w:hAnsi="Arial" w:cs="Arial"/>
          <w:sz w:val="20"/>
        </w:rPr>
      </w:pPr>
      <w:r>
        <w:rPr>
          <w:rFonts w:ascii="Arial" w:hAnsi="Arial" w:cs="Arial"/>
          <w:sz w:val="20"/>
        </w:rPr>
        <w:t xml:space="preserve">The </w:t>
      </w:r>
      <w:r w:rsidRPr="00977436">
        <w:rPr>
          <w:rFonts w:ascii="Arial" w:hAnsi="Arial" w:cs="Arial"/>
          <w:sz w:val="20"/>
        </w:rPr>
        <w:t>Yale Center for Clinical Investigation (YCCI) Clinical Research Associate/Study Monitors support Sponsors, Sponsor Investigators, and Principal Investigators conducting clinical trials across the Yale School of Medicine.</w:t>
      </w:r>
      <w:r w:rsidR="002069F0">
        <w:rPr>
          <w:rFonts w:ascii="Arial" w:hAnsi="Arial" w:cs="Arial"/>
          <w:sz w:val="20"/>
        </w:rPr>
        <w:t xml:space="preserve"> </w:t>
      </w:r>
      <w:r w:rsidRPr="00977436">
        <w:rPr>
          <w:rFonts w:ascii="Arial" w:hAnsi="Arial" w:cs="Arial"/>
          <w:sz w:val="20"/>
        </w:rPr>
        <w:t xml:space="preserve">The purpose of monitoring is to verify that the rights and well-being of human subjects are protected, and study data is accurate, complete, and verifiable.  </w:t>
      </w:r>
    </w:p>
    <w:p w:rsidR="00977436" w:rsidRPr="00977436" w:rsidP="001873FB" w14:paraId="7D0A19E9" w14:textId="77777777">
      <w:pPr>
        <w:spacing w:line="276" w:lineRule="auto"/>
        <w:ind w:left="720"/>
        <w:rPr>
          <w:rFonts w:ascii="Arial" w:hAnsi="Arial" w:cs="Arial"/>
          <w:sz w:val="20"/>
          <w:highlight w:val="yellow"/>
        </w:rPr>
      </w:pPr>
    </w:p>
    <w:p w:rsidR="00977436" w:rsidRPr="00355FB9" w:rsidP="001873FB" w14:paraId="61D4672F" w14:textId="2462D168">
      <w:pPr>
        <w:spacing w:line="276" w:lineRule="auto"/>
        <w:ind w:left="720"/>
        <w:rPr>
          <w:rFonts w:ascii="Arial" w:hAnsi="Arial" w:cs="Arial"/>
          <w:sz w:val="20"/>
        </w:rPr>
      </w:pPr>
      <w:bookmarkStart w:id="0" w:name="_Hlk118977720"/>
      <w:r w:rsidRPr="00977436">
        <w:rPr>
          <w:rFonts w:ascii="Arial" w:hAnsi="Arial" w:cs="Arial"/>
          <w:sz w:val="20"/>
        </w:rPr>
        <w:t>YCCI Study Monitors conduct a Site Initiation Visit (SIV) for each participating site on the clinical trials they support. The objective of the SIV is to provide protocol training, ensure the site principal investigator (Site PI) understands their responsibilities, and to perform an initial review of the essential documents required for site activation.</w:t>
      </w:r>
      <w:bookmarkEnd w:id="0"/>
    </w:p>
    <w:p w:rsidR="00977436" w:rsidRPr="00CB3283" w:rsidP="001873FB" w14:paraId="61EB8952" w14:textId="1CD9FEFA">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CB3283">
        <w:rPr>
          <w:color w:val="365F91" w:themeColor="accent1" w:themeShade="BF"/>
          <w:sz w:val="28"/>
          <w:szCs w:val="28"/>
        </w:rPr>
        <w:t>Definitions and Abbreviations</w:t>
      </w:r>
    </w:p>
    <w:p w:rsidR="00977436" w:rsidRPr="00977436" w:rsidP="001873FB" w14:paraId="23FFEE1A" w14:textId="4730435A">
      <w:pPr>
        <w:spacing w:line="276" w:lineRule="auto"/>
        <w:ind w:left="720"/>
        <w:rPr>
          <w:rFonts w:ascii="Arial" w:hAnsi="Arial" w:cs="Arial"/>
          <w:i/>
          <w:sz w:val="20"/>
        </w:rPr>
      </w:pPr>
      <w:r w:rsidRPr="0059291B">
        <w:rPr>
          <w:rFonts w:ascii="Arial" w:hAnsi="Arial" w:cs="Arial"/>
          <w:b/>
          <w:bCs/>
          <w:sz w:val="20"/>
        </w:rPr>
        <w:t>International Conference on Harmonisation (ICH) Good Clinical Practice (GCP)</w:t>
      </w:r>
      <w:r w:rsidR="0059291B">
        <w:rPr>
          <w:rFonts w:ascii="Arial" w:hAnsi="Arial" w:cs="Arial"/>
          <w:b/>
          <w:bCs/>
          <w:sz w:val="20"/>
        </w:rPr>
        <w:t>:</w:t>
      </w:r>
      <w:r w:rsidRPr="00977436">
        <w:rPr>
          <w:rFonts w:ascii="Arial" w:hAnsi="Arial" w:cs="Arial"/>
          <w:sz w:val="20"/>
        </w:rPr>
        <w:t xml:space="preserve"> an international ethical and scientific quality standard for the design, conduct, performance, monitoring, auditing, recording, analyses, and reporting of trials that involve the participation of human subjects</w:t>
      </w:r>
      <w:r w:rsidRPr="00977436">
        <w:rPr>
          <w:rFonts w:ascii="Arial" w:hAnsi="Arial" w:cs="Arial"/>
          <w:i/>
          <w:sz w:val="20"/>
        </w:rPr>
        <w:t>.</w:t>
      </w:r>
    </w:p>
    <w:p w:rsidR="00977436" w:rsidRPr="00977436" w:rsidP="001873FB" w14:paraId="2C5E10B9" w14:textId="77777777">
      <w:pPr>
        <w:spacing w:line="276" w:lineRule="auto"/>
        <w:ind w:left="720"/>
        <w:rPr>
          <w:rFonts w:ascii="Arial" w:hAnsi="Arial" w:cs="Arial"/>
          <w:i/>
          <w:sz w:val="20"/>
        </w:rPr>
      </w:pPr>
    </w:p>
    <w:p w:rsidR="00977436" w:rsidRPr="00977436" w:rsidP="001873FB" w14:paraId="2FB4424E" w14:textId="0DEB03C6">
      <w:pPr>
        <w:spacing w:line="276" w:lineRule="auto"/>
        <w:ind w:left="720"/>
        <w:rPr>
          <w:rFonts w:ascii="Arial" w:hAnsi="Arial" w:cs="Arial"/>
          <w:iCs/>
          <w:sz w:val="20"/>
        </w:rPr>
      </w:pPr>
      <w:bookmarkStart w:id="1" w:name="_Hlk125727495"/>
      <w:r w:rsidRPr="0059291B">
        <w:rPr>
          <w:rFonts w:ascii="Arial" w:hAnsi="Arial" w:cs="Arial"/>
          <w:b/>
          <w:bCs/>
          <w:iCs/>
          <w:sz w:val="20"/>
        </w:rPr>
        <w:t>Clinical Research Associate/Study Monitor</w:t>
      </w:r>
      <w:r w:rsidR="0059291B">
        <w:rPr>
          <w:rFonts w:ascii="Arial" w:hAnsi="Arial" w:cs="Arial"/>
          <w:b/>
          <w:bCs/>
          <w:iCs/>
          <w:sz w:val="20"/>
        </w:rPr>
        <w:t>:</w:t>
      </w:r>
      <w:r w:rsidRPr="0059291B">
        <w:rPr>
          <w:rFonts w:ascii="Arial" w:hAnsi="Arial" w:cs="Arial"/>
          <w:b/>
          <w:bCs/>
          <w:iCs/>
          <w:sz w:val="20"/>
        </w:rPr>
        <w:t xml:space="preserve"> </w:t>
      </w:r>
      <w:r w:rsidRPr="0059291B">
        <w:rPr>
          <w:rFonts w:ascii="Arial" w:hAnsi="Arial" w:cs="Arial"/>
          <w:iCs/>
          <w:sz w:val="20"/>
        </w:rPr>
        <w:t>as</w:t>
      </w:r>
      <w:r w:rsidRPr="00977436">
        <w:rPr>
          <w:rFonts w:ascii="Arial" w:hAnsi="Arial" w:cs="Arial"/>
          <w:sz w:val="20"/>
        </w:rPr>
        <w:t xml:space="preserve"> defined by International Conference on Harmonization (ICH) GCP, is a professional who monitors clinical studies and ensures compliance with the study protocol and applicable ICH GCP guidelines</w:t>
      </w:r>
      <w:r w:rsidRPr="00977436">
        <w:rPr>
          <w:rFonts w:ascii="Arial" w:hAnsi="Arial" w:cs="Arial"/>
          <w:iCs/>
          <w:sz w:val="20"/>
        </w:rPr>
        <w:t>.</w:t>
      </w:r>
    </w:p>
    <w:p w:rsidR="00977436" w:rsidRPr="00977436" w:rsidP="001873FB" w14:paraId="31606D8C" w14:textId="77777777">
      <w:pPr>
        <w:spacing w:line="276" w:lineRule="auto"/>
        <w:ind w:left="720"/>
        <w:rPr>
          <w:rFonts w:ascii="Arial" w:hAnsi="Arial" w:eastAsiaTheme="minorEastAsia" w:cs="Arial"/>
          <w:i/>
          <w:sz w:val="20"/>
          <w:highlight w:val="yellow"/>
        </w:rPr>
      </w:pPr>
    </w:p>
    <w:p w:rsidR="00977436" w:rsidRPr="00AC58D0" w:rsidP="00AC58D0" w14:paraId="5B576B13" w14:textId="4ADD8311">
      <w:pPr>
        <w:spacing w:line="276" w:lineRule="auto"/>
        <w:ind w:left="720"/>
        <w:rPr>
          <w:rFonts w:ascii="Arial" w:hAnsi="Arial" w:cs="Arial"/>
          <w:sz w:val="20"/>
        </w:rPr>
      </w:pPr>
      <w:r w:rsidRPr="0059291B">
        <w:rPr>
          <w:rFonts w:ascii="Arial" w:hAnsi="Arial" w:cs="Arial"/>
          <w:b/>
          <w:bCs/>
          <w:iCs/>
          <w:sz w:val="20"/>
        </w:rPr>
        <w:t xml:space="preserve">Essential </w:t>
      </w:r>
      <w:r>
        <w:rPr>
          <w:rFonts w:ascii="Arial" w:hAnsi="Arial" w:cs="Arial"/>
          <w:b/>
          <w:bCs/>
          <w:iCs/>
          <w:sz w:val="20"/>
        </w:rPr>
        <w:t>Records</w:t>
      </w:r>
      <w:r w:rsidR="0059291B">
        <w:rPr>
          <w:rFonts w:ascii="Arial" w:hAnsi="Arial" w:cs="Arial"/>
          <w:b/>
          <w:bCs/>
          <w:iCs/>
          <w:sz w:val="20"/>
        </w:rPr>
        <w:t>:</w:t>
      </w:r>
      <w:r w:rsidRPr="00977436">
        <w:rPr>
          <w:rFonts w:ascii="Arial" w:hAnsi="Arial" w:cs="Arial"/>
          <w:iCs/>
          <w:sz w:val="20"/>
        </w:rPr>
        <w:t xml:space="preserve"> </w:t>
      </w:r>
      <w:r w:rsidRPr="00AC58D0">
        <w:rPr>
          <w:rFonts w:ascii="Arial" w:hAnsi="Arial" w:cs="Arial"/>
          <w:sz w:val="20"/>
        </w:rPr>
        <w:t>Essential records are the documents and data (and relevant metadata), in any format, associated with a clinical trial that facilitate the ongoing management of the trial and collectively allow ICH E6(R3) Guideline the evaluation of the methods used, the factors affecting a trial and the actions taken during the trial conduct to determine the reliability of the trial results produced and the verification that the trial was conducted in accordance with GCP and applicable regulatory requirements.</w:t>
      </w:r>
    </w:p>
    <w:p w:rsidR="00DE6C2A" w:rsidP="001873FB" w14:paraId="0E7279D0" w14:textId="77777777">
      <w:pPr>
        <w:spacing w:line="276" w:lineRule="auto"/>
        <w:ind w:left="720"/>
        <w:rPr>
          <w:rFonts w:ascii="Arial" w:hAnsi="Arial" w:cs="Arial"/>
          <w:iCs/>
          <w:sz w:val="20"/>
        </w:rPr>
      </w:pPr>
    </w:p>
    <w:p w:rsidR="00DE6C2A" w:rsidRPr="00DE6C2A" w:rsidP="001873FB" w14:paraId="1F51352D" w14:textId="5251432F">
      <w:pPr>
        <w:spacing w:line="276" w:lineRule="auto"/>
        <w:ind w:left="720"/>
        <w:rPr>
          <w:rFonts w:ascii="Arial" w:hAnsi="Arial" w:cs="Arial"/>
          <w:iCs/>
          <w:sz w:val="20"/>
        </w:rPr>
      </w:pPr>
      <w:r w:rsidRPr="007775AE">
        <w:rPr>
          <w:rFonts w:ascii="Arial" w:hAnsi="Arial" w:cs="Arial"/>
          <w:b/>
          <w:bCs/>
          <w:color w:val="000000"/>
          <w:sz w:val="20"/>
        </w:rPr>
        <w:t>Investigator Site File (ISF):</w:t>
      </w:r>
      <w:r w:rsidRPr="007775AE">
        <w:rPr>
          <w:rFonts w:ascii="Arial" w:hAnsi="Arial" w:cs="Arial"/>
          <w:color w:val="000000"/>
          <w:sz w:val="20"/>
        </w:rPr>
        <w:t xml:space="preserve"> also known as a study binder, investigator binder and/or site regulatory binder, - maintained by the Principal Investigator and/or Regulatory Designee, established at the beginning of the trial and updated and maintained on a continuous basis during </w:t>
      </w:r>
      <w:r w:rsidRPr="007775AE">
        <w:rPr>
          <w:rFonts w:ascii="Arial" w:hAnsi="Arial" w:cs="Arial"/>
          <w:color w:val="000000"/>
          <w:sz w:val="20"/>
        </w:rPr>
        <w:t>the course of the trial. The Investigator Site File houses the study essential documents. These documents are subject to regulatory review.</w:t>
      </w:r>
    </w:p>
    <w:p w:rsidR="00977436" w:rsidRPr="00977436" w:rsidP="001873FB" w14:paraId="43B3A23A" w14:textId="77777777">
      <w:pPr>
        <w:spacing w:line="276" w:lineRule="auto"/>
        <w:ind w:left="720"/>
        <w:rPr>
          <w:rFonts w:ascii="Arial" w:hAnsi="Arial" w:cs="Arial"/>
          <w:iCs/>
          <w:sz w:val="20"/>
        </w:rPr>
      </w:pPr>
    </w:p>
    <w:p w:rsidR="00977436" w:rsidRPr="00977436" w:rsidP="001873FB" w14:paraId="5D635B3E" w14:textId="393B532F">
      <w:pPr>
        <w:spacing w:line="276" w:lineRule="auto"/>
        <w:ind w:left="720"/>
        <w:rPr>
          <w:rStyle w:val="Hyperlink0"/>
          <w:rFonts w:ascii="Arial" w:hAnsi="Arial" w:cs="Arial"/>
          <w:sz w:val="20"/>
        </w:rPr>
      </w:pPr>
      <w:r w:rsidRPr="0059291B">
        <w:rPr>
          <w:rStyle w:val="Hyperlink0"/>
          <w:rFonts w:ascii="Arial" w:hAnsi="Arial" w:cs="Arial"/>
          <w:b/>
          <w:bCs/>
          <w:sz w:val="20"/>
        </w:rPr>
        <w:t>Monitoring Plan</w:t>
      </w:r>
      <w:r w:rsidR="0059291B">
        <w:rPr>
          <w:rStyle w:val="Hyperlink0"/>
          <w:rFonts w:ascii="Arial" w:hAnsi="Arial" w:cs="Arial"/>
          <w:sz w:val="20"/>
        </w:rPr>
        <w:t>:</w:t>
      </w:r>
      <w:r w:rsidRPr="00977436">
        <w:rPr>
          <w:rStyle w:val="Hyperlink0"/>
          <w:rFonts w:ascii="Arial" w:hAnsi="Arial" w:cs="Arial"/>
          <w:sz w:val="20"/>
        </w:rPr>
        <w:t xml:space="preserve"> </w:t>
      </w:r>
      <w:r w:rsidRPr="00AC58D0">
        <w:rPr>
          <w:rFonts w:ascii="Arial" w:hAnsi="Arial" w:cs="Arial"/>
          <w:sz w:val="20"/>
        </w:rPr>
        <w:t>A document that describes the strategy, methods, responsibilities and requirements for monitoring the trial.</w:t>
      </w:r>
    </w:p>
    <w:p w:rsidR="00977436" w:rsidRPr="00977436" w:rsidP="001873FB" w14:paraId="47B04100" w14:textId="77777777">
      <w:pPr>
        <w:spacing w:line="276" w:lineRule="auto"/>
        <w:ind w:left="720"/>
        <w:rPr>
          <w:rStyle w:val="Hyperlink0"/>
          <w:rFonts w:ascii="Arial" w:hAnsi="Arial" w:cs="Arial"/>
          <w:sz w:val="20"/>
        </w:rPr>
      </w:pPr>
    </w:p>
    <w:p w:rsidR="003D77FD" w:rsidP="001873FB" w14:paraId="656D7CAA" w14:textId="4B0C59DF">
      <w:pPr>
        <w:spacing w:line="276" w:lineRule="auto"/>
        <w:ind w:left="720"/>
        <w:rPr>
          <w:rFonts w:ascii="Arial" w:hAnsi="Arial" w:cs="Arial"/>
          <w:sz w:val="20"/>
        </w:rPr>
      </w:pPr>
      <w:r w:rsidRPr="0059291B">
        <w:rPr>
          <w:rFonts w:ascii="Arial" w:hAnsi="Arial" w:cs="Arial"/>
          <w:b/>
          <w:bCs/>
          <w:sz w:val="20"/>
        </w:rPr>
        <w:t xml:space="preserve">Monitoring </w:t>
      </w:r>
      <w:r w:rsidR="003A491F">
        <w:rPr>
          <w:rFonts w:ascii="Arial" w:hAnsi="Arial" w:cs="Arial"/>
          <w:b/>
          <w:bCs/>
          <w:sz w:val="20"/>
        </w:rPr>
        <w:t>Report</w:t>
      </w:r>
      <w:r w:rsidR="0059291B">
        <w:rPr>
          <w:rFonts w:ascii="Arial" w:hAnsi="Arial" w:cs="Arial"/>
          <w:sz w:val="20"/>
        </w:rPr>
        <w:t>:</w:t>
      </w:r>
      <w:r w:rsidRPr="00977436">
        <w:rPr>
          <w:rFonts w:ascii="Arial" w:hAnsi="Arial" w:cs="Arial"/>
          <w:sz w:val="20"/>
        </w:rPr>
        <w:t xml:space="preserve"> </w:t>
      </w:r>
      <w:r w:rsidRPr="00AC58D0">
        <w:rPr>
          <w:rFonts w:ascii="Arial" w:hAnsi="Arial" w:cs="Arial"/>
          <w:sz w:val="20"/>
        </w:rPr>
        <w:t xml:space="preserve">A documented report following site and/or </w:t>
      </w:r>
      <w:r w:rsidRPr="00AC58D0">
        <w:rPr>
          <w:rFonts w:ascii="Arial" w:hAnsi="Arial" w:cs="Arial"/>
          <w:sz w:val="20"/>
        </w:rPr>
        <w:t>centralised</w:t>
      </w:r>
      <w:r w:rsidRPr="00AC58D0">
        <w:rPr>
          <w:rFonts w:ascii="Arial" w:hAnsi="Arial" w:cs="Arial"/>
          <w:sz w:val="20"/>
        </w:rPr>
        <w:t xml:space="preserve"> monitoring activities.</w:t>
      </w:r>
    </w:p>
    <w:p w:rsidR="00AC58D0" w:rsidP="001873FB" w14:paraId="3D4CC600" w14:textId="77777777">
      <w:pPr>
        <w:spacing w:line="276" w:lineRule="auto"/>
        <w:ind w:left="720"/>
        <w:rPr>
          <w:rStyle w:val="Hyperlink0"/>
          <w:rFonts w:ascii="Arial" w:hAnsi="Arial" w:cs="Arial"/>
          <w:sz w:val="20"/>
        </w:rPr>
      </w:pPr>
    </w:p>
    <w:p w:rsidR="003D77FD" w:rsidRPr="00977436" w:rsidP="001873FB" w14:paraId="1E61D0CA" w14:textId="1309BA17">
      <w:pPr>
        <w:spacing w:line="276" w:lineRule="auto"/>
        <w:ind w:left="720"/>
        <w:rPr>
          <w:rStyle w:val="Hyperlink0"/>
          <w:rFonts w:ascii="Arial" w:hAnsi="Arial" w:cs="Arial"/>
          <w:sz w:val="20"/>
        </w:rPr>
      </w:pPr>
      <w:r w:rsidRPr="007775AE">
        <w:rPr>
          <w:rStyle w:val="Hyperlink0"/>
          <w:rFonts w:ascii="Arial" w:hAnsi="Arial" w:cs="Arial"/>
          <w:b/>
          <w:bCs/>
          <w:sz w:val="20"/>
        </w:rPr>
        <w:t>Trial Master File (TMF)</w:t>
      </w:r>
      <w:r>
        <w:rPr>
          <w:rStyle w:val="Hyperlink0"/>
          <w:rFonts w:ascii="Arial" w:hAnsi="Arial" w:cs="Arial"/>
          <w:b/>
          <w:bCs/>
          <w:sz w:val="20"/>
        </w:rPr>
        <w:t xml:space="preserve">: </w:t>
      </w:r>
      <w:r w:rsidRPr="003D77FD">
        <w:rPr>
          <w:rStyle w:val="Hyperlink0"/>
          <w:rFonts w:ascii="Arial" w:hAnsi="Arial" w:cs="Arial"/>
          <w:sz w:val="20"/>
        </w:rPr>
        <w:t xml:space="preserve"> A</w:t>
      </w:r>
      <w:r w:rsidRPr="003D77FD">
        <w:rPr>
          <w:rStyle w:val="Hyperlink0"/>
          <w:rFonts w:ascii="Arial" w:hAnsi="Arial" w:cs="Arial"/>
          <w:sz w:val="20"/>
        </w:rPr>
        <w:t xml:space="preserve"> collection of all essential documents required to be maintained by the Sponsor or Sponsor-Investigator in accordance with applicable regulations.</w:t>
      </w:r>
    </w:p>
    <w:p w:rsidR="00977436" w:rsidRPr="00977436" w:rsidP="001873FB" w14:paraId="3E8AD1FF" w14:textId="77777777">
      <w:pPr>
        <w:spacing w:line="276" w:lineRule="auto"/>
        <w:ind w:left="720"/>
        <w:rPr>
          <w:rStyle w:val="Hyperlink0"/>
          <w:rFonts w:ascii="Arial" w:hAnsi="Arial" w:cs="Arial"/>
          <w:sz w:val="20"/>
        </w:rPr>
      </w:pPr>
    </w:p>
    <w:p w:rsidR="00977436" w:rsidP="001873FB" w14:paraId="1451C5C9" w14:textId="0D625208">
      <w:pPr>
        <w:spacing w:line="276" w:lineRule="auto"/>
        <w:ind w:left="720"/>
        <w:rPr>
          <w:rStyle w:val="Hyperlink0"/>
          <w:rFonts w:ascii="Arial" w:hAnsi="Arial" w:cs="Arial"/>
          <w:sz w:val="20"/>
        </w:rPr>
      </w:pPr>
      <w:r w:rsidRPr="0059291B">
        <w:rPr>
          <w:rStyle w:val="Hyperlink0"/>
          <w:rFonts w:ascii="Arial" w:hAnsi="Arial" w:cs="Arial"/>
          <w:b/>
          <w:bCs/>
          <w:sz w:val="20"/>
        </w:rPr>
        <w:t>Electronic Trial Master File (eTMF)</w:t>
      </w:r>
      <w:r w:rsidR="0059291B">
        <w:rPr>
          <w:rStyle w:val="Hyperlink0"/>
          <w:rFonts w:ascii="Arial" w:hAnsi="Arial" w:cs="Arial"/>
          <w:b/>
          <w:bCs/>
          <w:sz w:val="20"/>
        </w:rPr>
        <w:t>:</w:t>
      </w:r>
      <w:r w:rsidRPr="00977436">
        <w:rPr>
          <w:rStyle w:val="Hyperlink0"/>
          <w:rFonts w:ascii="Arial" w:hAnsi="Arial" w:cs="Arial"/>
          <w:sz w:val="20"/>
        </w:rPr>
        <w:t xml:space="preserve">  </w:t>
      </w:r>
      <w:r>
        <w:rPr>
          <w:rStyle w:val="Hyperlink0"/>
          <w:rFonts w:ascii="Arial" w:hAnsi="Arial" w:cs="Arial"/>
          <w:sz w:val="20"/>
        </w:rPr>
        <w:t xml:space="preserve">a TMF </w:t>
      </w:r>
      <w:r w:rsidRPr="003D77FD">
        <w:rPr>
          <w:rStyle w:val="Hyperlink0"/>
          <w:rFonts w:ascii="Arial" w:hAnsi="Arial" w:cs="Arial"/>
          <w:sz w:val="20"/>
        </w:rPr>
        <w:t xml:space="preserve">that is maintained electronically. </w:t>
      </w:r>
    </w:p>
    <w:p w:rsidR="00A460A0" w:rsidP="001873FB" w14:paraId="06DABCD3" w14:textId="77777777">
      <w:pPr>
        <w:spacing w:line="276" w:lineRule="auto"/>
        <w:ind w:left="720"/>
        <w:rPr>
          <w:rFonts w:ascii="Arial" w:hAnsi="Arial" w:cs="Arial"/>
          <w:sz w:val="20"/>
        </w:rPr>
      </w:pPr>
    </w:p>
    <w:p w:rsidR="00A460A0" w:rsidRPr="00B93FE9" w:rsidP="00A460A0" w14:paraId="7A9179C6" w14:textId="1CFC650F">
      <w:pPr>
        <w:pStyle w:val="BodyText"/>
        <w:tabs>
          <w:tab w:val="left" w:pos="720"/>
        </w:tabs>
        <w:spacing w:before="0" w:after="0" w:line="276" w:lineRule="auto"/>
        <w:ind w:left="720" w:right="29"/>
        <w:sectPr w:rsidSect="00641FF8">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cols w:space="720"/>
          <w:titlePg/>
        </w:sectPr>
      </w:pPr>
      <w:r>
        <w:t>The terms “subject” and “participant” where applicable are interchangeable.</w:t>
      </w:r>
    </w:p>
    <w:p w:rsidR="00977436" w:rsidRPr="00CB3283" w:rsidP="001873FB" w14:paraId="7A2970ED" w14:textId="6D12D6AD">
      <w:pPr>
        <w:pStyle w:val="SectionHeading"/>
        <w:numPr>
          <w:ilvl w:val="0"/>
          <w:numId w:val="25"/>
        </w:numPr>
        <w:spacing w:before="240" w:after="240" w:line="276" w:lineRule="auto"/>
        <w:ind w:left="720" w:hanging="720"/>
        <w:contextualSpacing w:val="0"/>
        <w:rPr>
          <w:color w:val="365F91" w:themeColor="accent1" w:themeShade="BF"/>
          <w:sz w:val="28"/>
          <w:szCs w:val="28"/>
        </w:rPr>
      </w:pPr>
      <w:bookmarkStart w:id="2" w:name="_Toc425171621"/>
      <w:bookmarkEnd w:id="1"/>
      <w:r w:rsidRPr="00CB3283">
        <w:rPr>
          <w:color w:val="365F91" w:themeColor="accent1" w:themeShade="BF"/>
          <w:sz w:val="28"/>
          <w:szCs w:val="28"/>
        </w:rPr>
        <w:t xml:space="preserve">Procedure </w:t>
      </w:r>
      <w:bookmarkEnd w:id="2"/>
    </w:p>
    <w:p w:rsidR="00977436" w:rsidRPr="00977436" w:rsidP="001873FB" w14:paraId="22DE3953" w14:textId="443A468E">
      <w:pPr>
        <w:spacing w:line="276" w:lineRule="auto"/>
        <w:ind w:left="720"/>
        <w:rPr>
          <w:rFonts w:ascii="Arial" w:hAnsi="Arial" w:cs="Arial"/>
          <w:sz w:val="20"/>
        </w:rPr>
      </w:pPr>
      <w:r w:rsidRPr="00977436">
        <w:rPr>
          <w:rFonts w:ascii="Arial" w:hAnsi="Arial" w:cs="Arial"/>
          <w:sz w:val="20"/>
        </w:rPr>
        <w:t xml:space="preserve">The YCCI Study Monitor will conduct Site Initiation Visits for all participating sites of a clinical trial in support of the </w:t>
      </w:r>
      <w:r w:rsidR="00CD7457">
        <w:rPr>
          <w:rFonts w:ascii="Arial" w:hAnsi="Arial" w:cs="Arial"/>
          <w:sz w:val="20"/>
        </w:rPr>
        <w:t>S</w:t>
      </w:r>
      <w:r w:rsidRPr="00977436">
        <w:rPr>
          <w:rFonts w:ascii="Arial" w:hAnsi="Arial" w:cs="Arial"/>
          <w:sz w:val="20"/>
        </w:rPr>
        <w:t>ponsor</w:t>
      </w:r>
      <w:r w:rsidR="00C36788">
        <w:rPr>
          <w:rFonts w:ascii="Arial" w:hAnsi="Arial" w:cs="Arial"/>
          <w:sz w:val="20"/>
        </w:rPr>
        <w:t xml:space="preserve">, Sponsor Investigator or Principal Investigator. </w:t>
      </w:r>
      <w:r w:rsidRPr="00977436">
        <w:rPr>
          <w:rFonts w:ascii="Arial" w:hAnsi="Arial" w:cs="Arial"/>
          <w:sz w:val="20"/>
        </w:rPr>
        <w:t>SIVs are part of the start-up process and are conducted prior to study activation.</w:t>
      </w:r>
      <w:r w:rsidR="0013647A">
        <w:rPr>
          <w:rFonts w:ascii="Arial" w:hAnsi="Arial" w:cs="Arial"/>
          <w:sz w:val="20"/>
        </w:rPr>
        <w:t xml:space="preserve"> </w:t>
      </w:r>
      <w:r w:rsidRPr="00977436">
        <w:rPr>
          <w:rFonts w:ascii="Arial" w:hAnsi="Arial" w:cs="Arial"/>
          <w:sz w:val="20"/>
        </w:rPr>
        <w:t>These visits can be conducted either onsite or remotely as delineated in the study specific monitoring plan</w:t>
      </w:r>
      <w:r w:rsidR="00D96494">
        <w:rPr>
          <w:rFonts w:ascii="Arial" w:hAnsi="Arial" w:cs="Arial"/>
          <w:sz w:val="20"/>
        </w:rPr>
        <w:t>.</w:t>
      </w:r>
    </w:p>
    <w:p w:rsidR="00977436" w:rsidRPr="00977436" w:rsidP="001873FB" w14:paraId="4249D721" w14:textId="77777777">
      <w:pPr>
        <w:spacing w:line="276" w:lineRule="auto"/>
        <w:ind w:left="720"/>
        <w:rPr>
          <w:rFonts w:ascii="Arial" w:hAnsi="Arial" w:cs="Arial"/>
          <w:sz w:val="20"/>
        </w:rPr>
      </w:pPr>
    </w:p>
    <w:p w:rsidR="00977436" w:rsidRPr="00977436" w:rsidP="001873FB" w14:paraId="25CEECC0" w14:textId="0AB19220">
      <w:pPr>
        <w:spacing w:line="276" w:lineRule="auto"/>
        <w:ind w:left="720"/>
        <w:contextualSpacing/>
        <w:rPr>
          <w:rFonts w:ascii="Arial" w:hAnsi="Arial" w:eastAsiaTheme="minorEastAsia" w:cs="Arial"/>
          <w:sz w:val="20"/>
        </w:rPr>
      </w:pPr>
      <w:r w:rsidRPr="00977436">
        <w:rPr>
          <w:rFonts w:ascii="Arial" w:hAnsi="Arial" w:eastAsiaTheme="minorEastAsia" w:cs="Arial"/>
          <w:sz w:val="20"/>
        </w:rPr>
        <w:t xml:space="preserve">SIV usually occurs after the site has completed initial regulatory documents, contractual agreements have been executed between the </w:t>
      </w:r>
      <w:r w:rsidR="00E353D9">
        <w:rPr>
          <w:rFonts w:ascii="Arial" w:hAnsi="Arial" w:eastAsiaTheme="minorEastAsia" w:cs="Arial"/>
          <w:sz w:val="20"/>
        </w:rPr>
        <w:t xml:space="preserve">Sponsor, Sponsor Investigator or </w:t>
      </w:r>
      <w:r w:rsidR="0094108A">
        <w:rPr>
          <w:rFonts w:ascii="Arial" w:hAnsi="Arial" w:eastAsiaTheme="minorEastAsia" w:cs="Arial"/>
          <w:sz w:val="20"/>
        </w:rPr>
        <w:t xml:space="preserve">Principal Investigator </w:t>
      </w:r>
      <w:r w:rsidRPr="00977436">
        <w:rPr>
          <w:rFonts w:ascii="Arial" w:hAnsi="Arial" w:eastAsiaTheme="minorEastAsia" w:cs="Arial"/>
          <w:sz w:val="20"/>
        </w:rPr>
        <w:t xml:space="preserve">and site, approval from the Institutional Review Board (IRB) of record has been obtained or is imminent and the plan for data capture and management is in place.  </w:t>
      </w:r>
    </w:p>
    <w:p w:rsidR="00977436" w:rsidRPr="00977436" w:rsidP="001873FB" w14:paraId="0E5D3A79" w14:textId="77777777">
      <w:pPr>
        <w:spacing w:line="276" w:lineRule="auto"/>
        <w:ind w:left="1440"/>
        <w:contextualSpacing/>
        <w:rPr>
          <w:rFonts w:ascii="Arial" w:hAnsi="Arial" w:eastAsiaTheme="minorEastAsia" w:cs="Arial"/>
          <w:sz w:val="20"/>
        </w:rPr>
      </w:pPr>
    </w:p>
    <w:p w:rsidR="00977436" w:rsidRPr="00060401" w:rsidP="00DC355E" w14:paraId="6CD61DC2" w14:textId="5F9A93C6">
      <w:pPr>
        <w:pStyle w:val="ListParagraph"/>
        <w:numPr>
          <w:ilvl w:val="1"/>
          <w:numId w:val="25"/>
        </w:numPr>
        <w:spacing w:before="120" w:after="120" w:line="276" w:lineRule="auto"/>
        <w:rPr>
          <w:rFonts w:eastAsiaTheme="minorEastAsia" w:cs="Arial"/>
          <w:b/>
        </w:rPr>
      </w:pPr>
      <w:r w:rsidRPr="005C7554">
        <w:rPr>
          <w:rFonts w:eastAsiaTheme="minorEastAsia" w:cs="Arial"/>
          <w:b/>
        </w:rPr>
        <w:t>Preparing Site Initiation Visits</w:t>
      </w:r>
    </w:p>
    <w:p w:rsidR="00977436" w:rsidRPr="00647486" w:rsidP="00647486" w14:paraId="5024DEF7" w14:textId="2C6A009A">
      <w:pPr>
        <w:spacing w:line="276" w:lineRule="auto"/>
        <w:ind w:left="1080"/>
        <w:rPr>
          <w:rFonts w:ascii="Arial" w:hAnsi="Arial" w:eastAsiaTheme="minorEastAsia" w:cs="Arial"/>
          <w:sz w:val="20"/>
        </w:rPr>
      </w:pPr>
      <w:bookmarkStart w:id="3" w:name="_Hlk125556869"/>
      <w:r w:rsidRPr="00977436">
        <w:rPr>
          <w:rFonts w:ascii="Arial" w:hAnsi="Arial" w:eastAsiaTheme="minorEastAsia" w:cs="Arial"/>
          <w:sz w:val="20"/>
        </w:rPr>
        <w:t xml:space="preserve">The YCCI Study Monitor will schedule the SIV with all participating sites and distribute a confirmation letter to be filed in </w:t>
      </w:r>
      <w:r w:rsidRPr="00977436">
        <w:rPr>
          <w:rFonts w:ascii="Arial" w:hAnsi="Arial" w:cs="Arial"/>
          <w:sz w:val="20"/>
        </w:rPr>
        <w:t>the Investigator Site File (ISF), and Trial Master File (TMF)</w:t>
      </w:r>
      <w:r w:rsidR="00D96494">
        <w:rPr>
          <w:rFonts w:ascii="Arial" w:hAnsi="Arial" w:cs="Arial"/>
          <w:sz w:val="20"/>
        </w:rPr>
        <w:t>,</w:t>
      </w:r>
      <w:r w:rsidRPr="00977436">
        <w:rPr>
          <w:rFonts w:ascii="Arial" w:hAnsi="Arial" w:cs="Arial"/>
          <w:sz w:val="20"/>
        </w:rPr>
        <w:t xml:space="preserve"> when applicable.  </w:t>
      </w:r>
    </w:p>
    <w:bookmarkEnd w:id="3"/>
    <w:p w:rsidR="00977436" w:rsidRPr="00977436" w:rsidP="001873FB" w14:paraId="318A9960" w14:textId="77777777">
      <w:pPr>
        <w:spacing w:line="276" w:lineRule="auto"/>
        <w:ind w:left="1080"/>
        <w:rPr>
          <w:rFonts w:ascii="Arial" w:hAnsi="Arial" w:cs="Arial"/>
          <w:sz w:val="20"/>
        </w:rPr>
      </w:pPr>
    </w:p>
    <w:p w:rsidR="00977436" w:rsidP="001873FB" w14:paraId="2D2AC414" w14:textId="2A3E9F74">
      <w:pPr>
        <w:pStyle w:val="ListParagraph"/>
        <w:spacing w:line="276" w:lineRule="auto"/>
        <w:ind w:left="1080"/>
        <w:rPr>
          <w:rFonts w:eastAsiaTheme="minorEastAsia" w:cs="Arial"/>
          <w:bCs/>
        </w:rPr>
      </w:pPr>
      <w:r w:rsidRPr="00977436">
        <w:rPr>
          <w:rFonts w:eastAsiaTheme="minorEastAsia" w:cs="Arial"/>
          <w:bCs/>
        </w:rPr>
        <w:t>With input from the Sponsor</w:t>
      </w:r>
      <w:r w:rsidR="0094108A">
        <w:rPr>
          <w:rFonts w:eastAsiaTheme="minorEastAsia" w:cs="Arial"/>
          <w:bCs/>
        </w:rPr>
        <w:t xml:space="preserve">, </w:t>
      </w:r>
      <w:r w:rsidRPr="00977436">
        <w:rPr>
          <w:rFonts w:eastAsiaTheme="minorEastAsia" w:cs="Arial"/>
          <w:bCs/>
        </w:rPr>
        <w:t>Sponsor-Investigator</w:t>
      </w:r>
      <w:r w:rsidR="0094108A">
        <w:rPr>
          <w:rFonts w:eastAsiaTheme="minorEastAsia" w:cs="Arial"/>
          <w:bCs/>
        </w:rPr>
        <w:t xml:space="preserve"> or Principal Investigator</w:t>
      </w:r>
      <w:r w:rsidRPr="00977436">
        <w:rPr>
          <w:rFonts w:eastAsiaTheme="minorEastAsia" w:cs="Arial"/>
          <w:bCs/>
        </w:rPr>
        <w:t>, YCCI Study Monitor will draft a presentation to be used for protocol training of site staff.  Topics to be covered during protocol training may include the following (as applicable):</w:t>
      </w:r>
    </w:p>
    <w:p w:rsidR="0013647A" w:rsidRPr="00977436" w:rsidP="001873FB" w14:paraId="17F627B9" w14:textId="77777777">
      <w:pPr>
        <w:pStyle w:val="ListParagraph"/>
        <w:spacing w:line="276" w:lineRule="auto"/>
        <w:ind w:left="1440"/>
        <w:rPr>
          <w:rFonts w:eastAsiaTheme="minorEastAsia" w:cs="Arial"/>
          <w:bCs/>
        </w:rPr>
      </w:pPr>
    </w:p>
    <w:p w:rsidR="00977436" w:rsidRPr="00977436" w:rsidP="001873FB" w14:paraId="5CB102B0"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 xml:space="preserve">Study overview, eligibility criteria, procedures, recruitment </w:t>
      </w:r>
    </w:p>
    <w:p w:rsidR="00977436" w:rsidRPr="00977436" w:rsidP="001873FB" w14:paraId="0DC10876"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Regulatory requirements and Good Clinical Practice (GCP) guidelines</w:t>
      </w:r>
    </w:p>
    <w:p w:rsidR="00977436" w:rsidRPr="00977436" w:rsidP="001873FB" w14:paraId="416E4745"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Informed consent requirements</w:t>
      </w:r>
    </w:p>
    <w:p w:rsidR="00977436" w:rsidRPr="00977436" w:rsidP="001873FB" w14:paraId="3EB108F1"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Adverse event reporting</w:t>
      </w:r>
    </w:p>
    <w:p w:rsidR="00977436" w:rsidRPr="00977436" w:rsidP="001873FB" w14:paraId="28B0EE74"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Investigational agent(s), including a general overview and requirements for receipt, storage, dispensation, and destruction</w:t>
      </w:r>
    </w:p>
    <w:p w:rsidR="00977436" w:rsidRPr="00977436" w:rsidP="001873FB" w14:paraId="26B89702"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Review of Case Report Forms (paper or electronic), corresponding completion guidelines, and the electronic system that will be used for data entry</w:t>
      </w:r>
    </w:p>
    <w:p w:rsidR="00977436" w:rsidRPr="00977436" w:rsidP="001873FB" w14:paraId="1285EA6A" w14:textId="77777777">
      <w:pPr>
        <w:numPr>
          <w:ilvl w:val="2"/>
          <w:numId w:val="26"/>
        </w:numPr>
        <w:spacing w:line="276" w:lineRule="auto"/>
        <w:contextualSpacing/>
        <w:rPr>
          <w:rFonts w:ascii="Arial" w:hAnsi="Arial" w:eastAsiaTheme="minorEastAsia" w:cs="Arial"/>
          <w:sz w:val="20"/>
        </w:rPr>
      </w:pPr>
      <w:r w:rsidRPr="00977436">
        <w:rPr>
          <w:rFonts w:ascii="Arial" w:hAnsi="Arial" w:eastAsiaTheme="minorEastAsia" w:cs="Arial"/>
          <w:sz w:val="20"/>
        </w:rPr>
        <w:t>Regulatory documents and study file organization</w:t>
      </w:r>
    </w:p>
    <w:p w:rsidR="00355FB9" w:rsidRPr="00A97FBD" w:rsidP="00A97FBD" w14:paraId="0D141F69" w14:textId="6EF787C6">
      <w:pPr>
        <w:numPr>
          <w:ilvl w:val="2"/>
          <w:numId w:val="26"/>
        </w:numPr>
        <w:spacing w:line="276" w:lineRule="auto"/>
        <w:contextualSpacing/>
        <w:rPr>
          <w:rFonts w:ascii="Arial" w:hAnsi="Arial" w:eastAsiaTheme="minorEastAsia" w:cs="Arial"/>
          <w:sz w:val="20"/>
        </w:rPr>
      </w:pPr>
      <w:hyperlink r:id="rId26" w:tgtFrame="_blank" w:tooltip="21 CFR 312 Subpart D: Responsibilities of Sponsors and Investigators" w:history="1">
        <w:r w:rsidRPr="00977436">
          <w:rPr>
            <w:rFonts w:ascii="Arial" w:hAnsi="Arial" w:eastAsiaTheme="minorEastAsia" w:cs="Arial"/>
            <w:sz w:val="20"/>
          </w:rPr>
          <w:t>Responsibilities of Sponsors and Investigators</w:t>
        </w:r>
      </w:hyperlink>
      <w:r w:rsidRPr="00977436" w:rsidR="00D12616">
        <w:rPr>
          <w:rFonts w:ascii="Arial" w:hAnsi="Arial" w:eastAsiaTheme="minorEastAsia" w:cs="Arial"/>
          <w:sz w:val="20"/>
        </w:rPr>
        <w:t xml:space="preserve"> (21 CFR Part 312 Subpart D)</w:t>
      </w:r>
    </w:p>
    <w:p w:rsidR="00977436" w:rsidRPr="00060401" w:rsidP="003313D9" w14:paraId="3CD8F80F" w14:textId="14DA802E">
      <w:pPr>
        <w:pStyle w:val="ListParagraph"/>
        <w:keepNext/>
        <w:numPr>
          <w:ilvl w:val="1"/>
          <w:numId w:val="25"/>
        </w:numPr>
        <w:spacing w:before="120" w:after="120" w:line="276" w:lineRule="auto"/>
        <w:rPr>
          <w:rFonts w:eastAsiaTheme="minorEastAsia" w:cs="Arial"/>
          <w:b/>
        </w:rPr>
      </w:pPr>
      <w:r w:rsidRPr="005C7554">
        <w:rPr>
          <w:rFonts w:eastAsiaTheme="minorEastAsia" w:cs="Arial"/>
          <w:b/>
        </w:rPr>
        <w:t>Conducting Site Initiation Visits</w:t>
      </w:r>
    </w:p>
    <w:p w:rsidR="00977436" w:rsidRPr="00977436" w:rsidP="001873FB" w14:paraId="6AB1224D" w14:textId="09135A4C">
      <w:pPr>
        <w:spacing w:line="276" w:lineRule="auto"/>
        <w:ind w:left="1080"/>
        <w:rPr>
          <w:rFonts w:ascii="Arial" w:hAnsi="Arial" w:cs="Arial"/>
          <w:i/>
          <w:iCs/>
          <w:sz w:val="20"/>
        </w:rPr>
      </w:pPr>
      <w:r w:rsidRPr="00977436">
        <w:rPr>
          <w:rFonts w:ascii="Arial" w:hAnsi="Arial" w:cs="Arial"/>
          <w:sz w:val="20"/>
        </w:rPr>
        <w:t xml:space="preserve">For onsite visits, a tour of the facility, visit to the </w:t>
      </w:r>
      <w:r>
        <w:rPr>
          <w:rFonts w:ascii="Arial" w:hAnsi="Arial" w:cs="Arial"/>
          <w:sz w:val="20"/>
        </w:rPr>
        <w:t xml:space="preserve">investigational </w:t>
      </w:r>
      <w:r w:rsidRPr="00977436">
        <w:rPr>
          <w:rFonts w:ascii="Arial" w:hAnsi="Arial" w:cs="Arial"/>
          <w:sz w:val="20"/>
        </w:rPr>
        <w:t>pharmacy and lab</w:t>
      </w:r>
      <w:r>
        <w:rPr>
          <w:rFonts w:ascii="Arial" w:hAnsi="Arial" w:cs="Arial"/>
          <w:sz w:val="20"/>
        </w:rPr>
        <w:t>oratory(ies)</w:t>
      </w:r>
      <w:r w:rsidRPr="00977436">
        <w:rPr>
          <w:rFonts w:ascii="Arial" w:hAnsi="Arial" w:cs="Arial"/>
          <w:sz w:val="20"/>
        </w:rPr>
        <w:t xml:space="preserve">, and review of study specific supplies or investigational product(s)/device(s) on hand may be performed as applicable.  </w:t>
      </w:r>
    </w:p>
    <w:p w:rsidR="00977436" w:rsidRPr="00977436" w:rsidP="001873FB" w14:paraId="287DCF6C" w14:textId="77777777">
      <w:pPr>
        <w:spacing w:line="276" w:lineRule="auto"/>
        <w:ind w:left="1080"/>
        <w:contextualSpacing/>
        <w:rPr>
          <w:rFonts w:ascii="Arial" w:hAnsi="Arial" w:eastAsiaTheme="minorEastAsia" w:cs="Arial"/>
          <w:sz w:val="20"/>
        </w:rPr>
      </w:pPr>
    </w:p>
    <w:p w:rsidR="00977436" w:rsidRPr="00977436" w:rsidP="001873FB" w14:paraId="7D8B27D7" w14:textId="77777777">
      <w:pPr>
        <w:spacing w:line="276" w:lineRule="auto"/>
        <w:ind w:left="1080"/>
        <w:contextualSpacing/>
        <w:rPr>
          <w:rFonts w:ascii="Arial" w:hAnsi="Arial" w:eastAsiaTheme="minorEastAsia" w:cs="Arial"/>
          <w:sz w:val="20"/>
        </w:rPr>
      </w:pPr>
      <w:r w:rsidRPr="00977436">
        <w:rPr>
          <w:rFonts w:ascii="Arial" w:hAnsi="Arial" w:eastAsiaTheme="minorEastAsia" w:cs="Arial"/>
          <w:sz w:val="20"/>
        </w:rPr>
        <w:t xml:space="preserve">Protocol specific training will be presented to the site study team. </w:t>
      </w:r>
    </w:p>
    <w:p w:rsidR="00977436" w:rsidRPr="00977436" w:rsidP="001873FB" w14:paraId="5E84597E" w14:textId="77777777">
      <w:pPr>
        <w:spacing w:line="276" w:lineRule="auto"/>
        <w:ind w:left="1080"/>
        <w:contextualSpacing/>
        <w:rPr>
          <w:rFonts w:ascii="Arial" w:hAnsi="Arial" w:eastAsiaTheme="minorEastAsia" w:cs="Arial"/>
          <w:sz w:val="20"/>
        </w:rPr>
      </w:pPr>
    </w:p>
    <w:p w:rsidR="00977436" w:rsidRPr="00977436" w:rsidP="001873FB" w14:paraId="166A1051" w14:textId="77777777">
      <w:pPr>
        <w:spacing w:line="276" w:lineRule="auto"/>
        <w:ind w:left="1080"/>
        <w:contextualSpacing/>
        <w:rPr>
          <w:rFonts w:ascii="Arial" w:hAnsi="Arial" w:eastAsiaTheme="minorEastAsia" w:cs="Arial"/>
          <w:sz w:val="20"/>
        </w:rPr>
      </w:pPr>
      <w:r w:rsidRPr="00977436">
        <w:rPr>
          <w:rFonts w:ascii="Arial" w:hAnsi="Arial" w:eastAsiaTheme="minorEastAsia" w:cs="Arial"/>
          <w:sz w:val="20"/>
        </w:rPr>
        <w:t>Attendance will be used to document initial protocol training.  For study team members unable to attend SIV, an alternative method of training will be made available as documentation of protocol training is required prior to performing any study-specific tasks on a clinical trial.</w:t>
      </w:r>
    </w:p>
    <w:p w:rsidR="00977436" w:rsidRPr="00977436" w:rsidP="001873FB" w14:paraId="7E00A939" w14:textId="77777777">
      <w:pPr>
        <w:spacing w:line="276" w:lineRule="auto"/>
        <w:ind w:left="1080"/>
        <w:contextualSpacing/>
        <w:rPr>
          <w:rFonts w:ascii="Arial" w:hAnsi="Arial" w:eastAsiaTheme="minorEastAsia" w:cs="Arial"/>
          <w:sz w:val="20"/>
        </w:rPr>
      </w:pPr>
    </w:p>
    <w:p w:rsidR="00977436" w:rsidRPr="00977436" w:rsidP="001873FB" w14:paraId="7A68D994" w14:textId="77777777">
      <w:pPr>
        <w:spacing w:line="276" w:lineRule="auto"/>
        <w:ind w:left="1080"/>
        <w:contextualSpacing/>
        <w:rPr>
          <w:rFonts w:ascii="Arial" w:hAnsi="Arial" w:eastAsiaTheme="minorEastAsia" w:cs="Arial"/>
          <w:sz w:val="20"/>
        </w:rPr>
      </w:pPr>
      <w:r w:rsidRPr="00977436">
        <w:rPr>
          <w:rFonts w:ascii="Arial" w:hAnsi="Arial" w:eastAsiaTheme="minorEastAsia" w:cs="Arial"/>
          <w:sz w:val="20"/>
        </w:rPr>
        <w:t xml:space="preserve">The YCCI Study Monitor will perform an initial review of the ISF to ensure the essential regulatory documents, staff credentials and qualifications necessary for activation are complete and available.  </w:t>
      </w:r>
    </w:p>
    <w:p w:rsidR="00977436" w:rsidRPr="00977436" w:rsidP="001873FB" w14:paraId="236FF5EF" w14:textId="77777777">
      <w:pPr>
        <w:spacing w:line="276" w:lineRule="auto"/>
        <w:ind w:left="1440"/>
        <w:contextualSpacing/>
        <w:rPr>
          <w:rFonts w:ascii="Arial" w:hAnsi="Arial" w:eastAsiaTheme="minorEastAsia" w:cs="Arial"/>
          <w:sz w:val="20"/>
        </w:rPr>
      </w:pPr>
    </w:p>
    <w:p w:rsidR="00977436" w:rsidP="001873FB" w14:paraId="7626E07C" w14:textId="334597C9">
      <w:pPr>
        <w:pStyle w:val="ListParagraph"/>
        <w:numPr>
          <w:ilvl w:val="1"/>
          <w:numId w:val="25"/>
        </w:numPr>
        <w:spacing w:after="120" w:line="276" w:lineRule="auto"/>
        <w:rPr>
          <w:rFonts w:eastAsiaTheme="minorEastAsia" w:cs="Arial"/>
          <w:b/>
        </w:rPr>
      </w:pPr>
      <w:r w:rsidRPr="00977436">
        <w:rPr>
          <w:rFonts w:eastAsiaTheme="minorEastAsia" w:cs="Arial"/>
          <w:b/>
        </w:rPr>
        <w:t xml:space="preserve">Follow Up for Site Initiation Visits </w:t>
      </w:r>
      <w:bookmarkStart w:id="4" w:name="_Hlk120532661"/>
    </w:p>
    <w:p w:rsidR="00977436" w:rsidRPr="00977436" w:rsidP="001873FB" w14:paraId="4C7EF10E" w14:textId="1A8371F7">
      <w:pPr>
        <w:spacing w:line="276" w:lineRule="auto"/>
        <w:ind w:left="1080"/>
        <w:rPr>
          <w:rFonts w:ascii="Arial" w:hAnsi="Arial" w:cs="Arial"/>
          <w:sz w:val="20"/>
        </w:rPr>
      </w:pPr>
      <w:r w:rsidRPr="00977436">
        <w:rPr>
          <w:rFonts w:ascii="Arial" w:hAnsi="Arial" w:cs="Arial"/>
          <w:sz w:val="20"/>
        </w:rPr>
        <w:t>YCCI Study Monitors draft a report after each SIV. Monitoring reports are internally reviewed prior to distribution</w:t>
      </w:r>
      <w:bookmarkStart w:id="5" w:name="_Hlk120532756"/>
      <w:bookmarkStart w:id="6" w:name="_Hlk119577004"/>
      <w:r w:rsidRPr="00977436">
        <w:rPr>
          <w:rFonts w:ascii="Arial" w:hAnsi="Arial" w:cs="Arial"/>
          <w:sz w:val="20"/>
        </w:rPr>
        <w:t>. The Sponsor or Sponsor Investigator, Site PI and Project Management should be copied on all report distribution.</w:t>
      </w:r>
    </w:p>
    <w:p w:rsidR="00977436" w:rsidRPr="00977436" w:rsidP="001873FB" w14:paraId="3CF2713D" w14:textId="77777777">
      <w:pPr>
        <w:spacing w:line="276" w:lineRule="auto"/>
        <w:ind w:left="1080"/>
        <w:rPr>
          <w:rFonts w:ascii="Arial" w:hAnsi="Arial" w:cs="Arial"/>
          <w:sz w:val="20"/>
        </w:rPr>
      </w:pPr>
    </w:p>
    <w:p w:rsidR="00977436" w:rsidRPr="00977436" w:rsidP="001873FB" w14:paraId="3BEF121E" w14:textId="77777777">
      <w:pPr>
        <w:spacing w:line="276" w:lineRule="auto"/>
        <w:ind w:left="1080"/>
        <w:rPr>
          <w:rFonts w:ascii="Arial" w:hAnsi="Arial" w:cs="Arial"/>
          <w:sz w:val="20"/>
        </w:rPr>
      </w:pPr>
      <w:r w:rsidRPr="00977436">
        <w:rPr>
          <w:rFonts w:ascii="Arial" w:hAnsi="Arial" w:cs="Arial"/>
          <w:sz w:val="20"/>
        </w:rPr>
        <w:t xml:space="preserve">All monitoring reports, correspondence and accompanying logs should be filed in the ISF, and the TMF when applicable.  </w:t>
      </w:r>
      <w:bookmarkEnd w:id="5"/>
    </w:p>
    <w:bookmarkEnd w:id="4"/>
    <w:bookmarkEnd w:id="6"/>
    <w:p w:rsidR="00977436" w:rsidRPr="00977436" w:rsidP="001873FB" w14:paraId="5D96E462" w14:textId="77777777">
      <w:pPr>
        <w:spacing w:line="276" w:lineRule="auto"/>
        <w:ind w:left="1080" w:firstLine="720"/>
        <w:rPr>
          <w:rFonts w:ascii="Arial" w:hAnsi="Arial" w:cs="Arial"/>
          <w:sz w:val="20"/>
        </w:rPr>
      </w:pPr>
    </w:p>
    <w:p w:rsidR="00F93EAF" w:rsidP="001873FB" w14:paraId="204BFAE4" w14:textId="78DE86EA">
      <w:pPr>
        <w:spacing w:line="276" w:lineRule="auto"/>
        <w:ind w:left="1080"/>
        <w:rPr>
          <w:rFonts w:ascii="Arial" w:hAnsi="Arial" w:cs="Arial"/>
          <w:sz w:val="20"/>
        </w:rPr>
      </w:pPr>
      <w:bookmarkStart w:id="7" w:name="_Hlk120532766"/>
      <w:r w:rsidRPr="00977436">
        <w:rPr>
          <w:rFonts w:ascii="Arial" w:hAnsi="Arial" w:cs="Arial"/>
          <w:sz w:val="20"/>
        </w:rPr>
        <w:t xml:space="preserve">Both the Monitoring Visit Log and the SIV Attendance Log will be distributed with the report. </w:t>
      </w:r>
      <w:bookmarkEnd w:id="7"/>
    </w:p>
    <w:p w:rsidR="006A479F" w:rsidP="001873FB" w14:paraId="478B2E3B" w14:textId="77777777">
      <w:pPr>
        <w:spacing w:line="276" w:lineRule="auto"/>
        <w:ind w:left="1080"/>
        <w:rPr>
          <w:rFonts w:ascii="Arial" w:hAnsi="Arial" w:cs="Arial"/>
          <w:sz w:val="20"/>
        </w:rPr>
      </w:pPr>
    </w:p>
    <w:p w:rsidR="006A479F" w:rsidRPr="006A479F" w:rsidP="001873FB" w14:paraId="672E749C" w14:textId="6A6F0AD0">
      <w:pPr>
        <w:pStyle w:val="ListParagraph"/>
        <w:numPr>
          <w:ilvl w:val="1"/>
          <w:numId w:val="25"/>
        </w:numPr>
        <w:spacing w:after="120" w:line="276" w:lineRule="auto"/>
        <w:rPr>
          <w:rFonts w:eastAsiaTheme="minorEastAsia" w:cs="Arial"/>
          <w:b/>
        </w:rPr>
      </w:pPr>
      <w:r>
        <w:rPr>
          <w:rFonts w:eastAsiaTheme="minorEastAsia" w:cs="Arial"/>
          <w:b/>
        </w:rPr>
        <w:t>Training</w:t>
      </w:r>
    </w:p>
    <w:p w:rsidR="00977436" w:rsidRPr="007105F0" w:rsidP="001873FB" w14:paraId="02FABE49" w14:textId="5327D2F1">
      <w:pPr>
        <w:spacing w:line="276" w:lineRule="auto"/>
        <w:ind w:left="1080"/>
        <w:rPr>
          <w:rFonts w:ascii="Arial" w:hAnsi="Arial" w:cs="Arial"/>
          <w:sz w:val="20"/>
        </w:rPr>
      </w:pPr>
      <w:r w:rsidRPr="007105F0">
        <w:rPr>
          <w:rFonts w:ascii="Arial" w:hAnsi="Arial" w:cs="Arial"/>
          <w:sz w:val="20"/>
        </w:rPr>
        <w:t>All responsible personnel listed within this SOP will receive training appropriate to their role and level of responsibility.</w:t>
      </w:r>
    </w:p>
    <w:p w:rsidR="00AE3C4C" w:rsidRPr="00CB3283" w:rsidP="001873FB" w14:paraId="60064BAD" w14:textId="77777777">
      <w:pPr>
        <w:pStyle w:val="SectionHeading"/>
        <w:numPr>
          <w:ilvl w:val="0"/>
          <w:numId w:val="25"/>
        </w:numPr>
        <w:spacing w:before="240" w:after="240" w:line="276" w:lineRule="auto"/>
        <w:ind w:left="720" w:hanging="720"/>
        <w:rPr>
          <w:sz w:val="28"/>
          <w:szCs w:val="28"/>
        </w:rPr>
      </w:pPr>
      <w:r w:rsidRPr="00CB3283">
        <w:rPr>
          <w:color w:val="365F91" w:themeColor="accent1" w:themeShade="BF"/>
          <w:sz w:val="28"/>
          <w:szCs w:val="28"/>
        </w:rPr>
        <w:t>Roles and Responsibilities</w:t>
      </w:r>
    </w:p>
    <w:p w:rsidR="00AE3C4C" w:rsidP="001873FB" w14:paraId="6C92118F" w14:textId="77777777">
      <w:pPr>
        <w:pStyle w:val="BodyText"/>
        <w:numPr>
          <w:ilvl w:val="0"/>
          <w:numId w:val="27"/>
        </w:numPr>
        <w:spacing w:before="24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AE3C4C" w:rsidP="001873FB" w14:paraId="3AB89E13" w14:textId="77777777">
      <w:pPr>
        <w:pStyle w:val="BodyText"/>
        <w:spacing w:line="276" w:lineRule="auto"/>
        <w:ind w:left="1080"/>
        <w:jc w:val="both"/>
        <w:rPr>
          <w:rFonts w:cs="Arial"/>
        </w:rPr>
      </w:pPr>
    </w:p>
    <w:p w:rsidR="00AE3C4C" w:rsidP="001873FB" w14:paraId="0D2B0AFA" w14:textId="1F93CD90">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r w:rsidR="00355FB9">
        <w:rPr>
          <w:rFonts w:cs="Arial"/>
        </w:rPr>
        <w:br/>
      </w:r>
    </w:p>
    <w:p w:rsidR="001873FB" w:rsidP="001873FB" w14:paraId="404628EF" w14:textId="77777777">
      <w:pPr>
        <w:pStyle w:val="BodyText"/>
        <w:numPr>
          <w:ilvl w:val="0"/>
          <w:numId w:val="27"/>
        </w:numPr>
        <w:spacing w:before="240" w:after="120" w:line="276" w:lineRule="auto"/>
        <w:ind w:left="1080"/>
        <w:contextualSpacing/>
        <w:jc w:val="both"/>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w:t>
      </w:r>
    </w:p>
    <w:p w:rsidR="001873FB" w:rsidP="001873FB" w14:paraId="505CCD8A" w14:textId="77777777">
      <w:pPr>
        <w:pStyle w:val="BodyText"/>
        <w:spacing w:before="240" w:after="120" w:line="276" w:lineRule="auto"/>
        <w:ind w:left="1080"/>
        <w:contextualSpacing/>
        <w:jc w:val="both"/>
        <w:rPr>
          <w:rFonts w:cs="Arial"/>
        </w:rPr>
      </w:pPr>
    </w:p>
    <w:p w:rsidR="00AE3C4C" w:rsidP="001873FB" w14:paraId="4750C70D" w14:textId="5E9D373B">
      <w:pPr>
        <w:pStyle w:val="BodyText"/>
        <w:numPr>
          <w:ilvl w:val="0"/>
          <w:numId w:val="27"/>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AE3C4C" w:rsidP="001873FB" w14:paraId="00F11A57" w14:textId="77777777">
      <w:pPr>
        <w:pStyle w:val="BodyText"/>
        <w:spacing w:line="276" w:lineRule="auto"/>
        <w:ind w:left="1080"/>
        <w:jc w:val="both"/>
        <w:rPr>
          <w:rFonts w:cs="Arial"/>
        </w:rPr>
      </w:pPr>
    </w:p>
    <w:p w:rsidR="0013647A" w:rsidRPr="0013647A" w:rsidP="001873FB" w14:paraId="09147FE8" w14:textId="4A3E8736">
      <w:pPr>
        <w:pStyle w:val="ListParagraph"/>
        <w:numPr>
          <w:ilvl w:val="0"/>
          <w:numId w:val="32"/>
        </w:numPr>
        <w:spacing w:line="276" w:lineRule="auto"/>
        <w:rPr>
          <w:rFonts w:eastAsiaTheme="minorEastAsia" w:cs="Arial"/>
        </w:rPr>
      </w:pPr>
      <w:r w:rsidRPr="0013647A">
        <w:rPr>
          <w:rFonts w:eastAsiaTheme="minorEastAsia" w:cs="Arial"/>
        </w:rPr>
        <w:t>Clinical Research Associate</w:t>
      </w:r>
    </w:p>
    <w:p w:rsidR="0013647A" w:rsidRPr="0013647A" w:rsidP="001873FB" w14:paraId="727B96EF" w14:textId="77777777">
      <w:pPr>
        <w:pStyle w:val="ListParagraph"/>
        <w:numPr>
          <w:ilvl w:val="0"/>
          <w:numId w:val="32"/>
        </w:numPr>
        <w:spacing w:line="276" w:lineRule="auto"/>
        <w:rPr>
          <w:rFonts w:eastAsiaTheme="minorEastAsia" w:cs="Arial"/>
        </w:rPr>
      </w:pPr>
      <w:r w:rsidRPr="0013647A">
        <w:rPr>
          <w:rFonts w:eastAsiaTheme="minorEastAsia" w:cs="Arial"/>
        </w:rPr>
        <w:t>Sponsor/Sponsor-Investigator</w:t>
      </w:r>
    </w:p>
    <w:p w:rsidR="0013647A" w:rsidRPr="0013647A" w:rsidP="001873FB" w14:paraId="0A5A53BE" w14:textId="77777777">
      <w:pPr>
        <w:pStyle w:val="ListParagraph"/>
        <w:numPr>
          <w:ilvl w:val="0"/>
          <w:numId w:val="32"/>
        </w:numPr>
        <w:spacing w:line="276" w:lineRule="auto"/>
        <w:rPr>
          <w:rFonts w:eastAsiaTheme="minorEastAsia" w:cs="Arial"/>
        </w:rPr>
      </w:pPr>
      <w:r w:rsidRPr="0013647A">
        <w:rPr>
          <w:rFonts w:eastAsiaTheme="minorEastAsia" w:cs="Arial"/>
        </w:rPr>
        <w:t xml:space="preserve">Project Manager </w:t>
      </w:r>
    </w:p>
    <w:p w:rsidR="00AE3C4C" w:rsidRPr="00CB3283" w:rsidP="001873FB" w14:paraId="7B6141D4" w14:textId="77777777">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CB3283">
        <w:rPr>
          <w:color w:val="365F91" w:themeColor="accent1" w:themeShade="BF"/>
          <w:sz w:val="28"/>
          <w:szCs w:val="28"/>
        </w:rPr>
        <w:t xml:space="preserve">Contact Information </w:t>
      </w:r>
    </w:p>
    <w:p w:rsidR="00AE3C4C" w:rsidP="001873FB" w14:paraId="5D274931" w14:textId="77777777">
      <w:pPr>
        <w:pStyle w:val="BodyText"/>
        <w:spacing w:line="276" w:lineRule="auto"/>
        <w:ind w:left="720"/>
      </w:pPr>
      <w:r>
        <w:t xml:space="preserve">Any exceptions or questions pertaining to this procedure must be presented to </w:t>
      </w:r>
      <w:hyperlink r:id="rId27" w:history="1">
        <w:r w:rsidRPr="00117703">
          <w:rPr>
            <w:rStyle w:val="Hyperlink"/>
          </w:rPr>
          <w:t>ycci.sop@yale.edu</w:t>
        </w:r>
      </w:hyperlink>
      <w:r>
        <w:rPr>
          <w:rStyle w:val="Hyperlink"/>
        </w:rPr>
        <w:t>.</w:t>
      </w:r>
    </w:p>
    <w:p w:rsidR="00AE3C4C" w:rsidRPr="00CB3283" w:rsidP="00FD324B" w14:paraId="472FBB49" w14:textId="77777777">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CB3283">
        <w:rPr>
          <w:color w:val="365F91" w:themeColor="accent1" w:themeShade="BF"/>
          <w:sz w:val="28"/>
          <w:szCs w:val="28"/>
        </w:rPr>
        <w:t>Related Information</w:t>
      </w:r>
    </w:p>
    <w:p w:rsidR="006E652D" w:rsidP="0029754C" w14:paraId="411316A2" w14:textId="708BC3BE">
      <w:pPr>
        <w:pStyle w:val="SectionHeading"/>
        <w:spacing w:before="12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6E652D" w:rsidRPr="004B16B0" w:rsidP="0029754C" w14:paraId="72564D25" w14:textId="77777777">
      <w:pPr>
        <w:pStyle w:val="SectionHeading"/>
        <w:numPr>
          <w:ilvl w:val="1"/>
          <w:numId w:val="25"/>
        </w:numPr>
        <w:spacing w:before="240" w:line="276" w:lineRule="auto"/>
        <w:contextualSpacing w:val="0"/>
        <w:rPr>
          <w:sz w:val="20"/>
        </w:rPr>
      </w:pPr>
      <w:r w:rsidRPr="004B16B0">
        <w:rPr>
          <w:sz w:val="20"/>
        </w:rPr>
        <w:t>Code of Federal Regulations</w:t>
      </w:r>
    </w:p>
    <w:p w:rsidR="006E652D" w:rsidRPr="001873FB" w:rsidP="001873FB" w14:paraId="73DA6E16" w14:textId="77777777">
      <w:pPr>
        <w:pStyle w:val="SectionHeading"/>
        <w:numPr>
          <w:ilvl w:val="0"/>
          <w:numId w:val="33"/>
        </w:numPr>
        <w:spacing w:line="276" w:lineRule="auto"/>
        <w:rPr>
          <w:rStyle w:val="Hyperlink"/>
          <w:b w:val="0"/>
          <w:bCs/>
          <w:color w:val="auto"/>
          <w:sz w:val="20"/>
          <w:u w:val="none"/>
        </w:rPr>
      </w:pPr>
      <w:hyperlink r:id="rId28" w:history="1">
        <w:r w:rsidRPr="001873FB">
          <w:rPr>
            <w:rStyle w:val="Hyperlink"/>
            <w:b w:val="0"/>
            <w:bCs/>
            <w:sz w:val="20"/>
          </w:rPr>
          <w:t>OHRP Code of Federal Regulations Title 45 Part 46</w:t>
        </w:r>
      </w:hyperlink>
    </w:p>
    <w:p w:rsidR="006E652D" w:rsidRPr="001873FB" w:rsidP="001873FB" w14:paraId="1DBE46B1" w14:textId="77777777">
      <w:pPr>
        <w:pStyle w:val="SectionHeading"/>
        <w:numPr>
          <w:ilvl w:val="0"/>
          <w:numId w:val="33"/>
        </w:numPr>
        <w:spacing w:line="276" w:lineRule="auto"/>
        <w:rPr>
          <w:b w:val="0"/>
          <w:bCs/>
          <w:sz w:val="20"/>
        </w:rPr>
      </w:pPr>
      <w:hyperlink r:id="rId29" w:history="1">
        <w:r w:rsidRPr="001873FB">
          <w:rPr>
            <w:rStyle w:val="Hyperlink"/>
            <w:b w:val="0"/>
            <w:bCs/>
            <w:sz w:val="20"/>
          </w:rPr>
          <w:t>US FDA Code of Federal Regulations, Title 21 Part 50</w:t>
        </w:r>
      </w:hyperlink>
    </w:p>
    <w:p w:rsidR="006E652D" w:rsidRPr="001873FB" w:rsidP="001873FB" w14:paraId="27AAC227" w14:textId="77777777">
      <w:pPr>
        <w:pStyle w:val="SectionHeading"/>
        <w:numPr>
          <w:ilvl w:val="0"/>
          <w:numId w:val="33"/>
        </w:numPr>
        <w:spacing w:line="276" w:lineRule="auto"/>
        <w:rPr>
          <w:b w:val="0"/>
          <w:bCs/>
          <w:sz w:val="20"/>
        </w:rPr>
      </w:pPr>
      <w:hyperlink r:id="rId30" w:history="1">
        <w:r w:rsidRPr="001873FB">
          <w:rPr>
            <w:rStyle w:val="Hyperlink"/>
            <w:b w:val="0"/>
            <w:bCs/>
            <w:sz w:val="20"/>
          </w:rPr>
          <w:t>US FDA Code of Federal Regulations, Title 21 Part 312 (IND)</w:t>
        </w:r>
      </w:hyperlink>
    </w:p>
    <w:p w:rsidR="006E652D" w:rsidRPr="001873FB" w:rsidP="001873FB" w14:paraId="5CE72171" w14:textId="77777777">
      <w:pPr>
        <w:pStyle w:val="SectionHeading"/>
        <w:numPr>
          <w:ilvl w:val="0"/>
          <w:numId w:val="33"/>
        </w:numPr>
        <w:spacing w:line="276" w:lineRule="auto"/>
        <w:rPr>
          <w:rStyle w:val="Hyperlink"/>
          <w:b w:val="0"/>
          <w:bCs/>
          <w:color w:val="auto"/>
          <w:sz w:val="20"/>
          <w:u w:val="none"/>
        </w:rPr>
      </w:pPr>
      <w:hyperlink r:id="rId31" w:history="1">
        <w:r w:rsidRPr="001873FB">
          <w:rPr>
            <w:rStyle w:val="Hyperlink"/>
            <w:b w:val="0"/>
            <w:bCs/>
            <w:sz w:val="20"/>
          </w:rPr>
          <w:t>US FDA Code of Federal Regulations, Title 21 Part 812 (IDE)</w:t>
        </w:r>
      </w:hyperlink>
    </w:p>
    <w:p w:rsidR="006E652D" w:rsidRPr="001873FB" w:rsidP="001873FB" w14:paraId="29FACCA3" w14:textId="77777777">
      <w:pPr>
        <w:pStyle w:val="SectionHeading"/>
        <w:spacing w:line="276" w:lineRule="auto"/>
        <w:ind w:left="1440"/>
        <w:rPr>
          <w:b w:val="0"/>
          <w:bCs/>
          <w:sz w:val="20"/>
        </w:rPr>
      </w:pPr>
    </w:p>
    <w:p w:rsidR="006E652D" w:rsidRPr="001873FB" w:rsidP="007D23F2" w14:paraId="158941DD" w14:textId="166B23CA">
      <w:pPr>
        <w:pStyle w:val="SectionHeading"/>
        <w:numPr>
          <w:ilvl w:val="1"/>
          <w:numId w:val="25"/>
        </w:numPr>
        <w:spacing w:before="120" w:line="276" w:lineRule="auto"/>
        <w:contextualSpacing w:val="0"/>
        <w:rPr>
          <w:sz w:val="20"/>
        </w:rPr>
      </w:pPr>
      <w:r w:rsidRPr="001873FB">
        <w:rPr>
          <w:sz w:val="20"/>
        </w:rPr>
        <w:t>Good Clinical Practice</w:t>
      </w:r>
      <w:r>
        <w:rPr>
          <w:sz w:val="20"/>
        </w:rPr>
        <w:t xml:space="preserve"> </w:t>
      </w:r>
    </w:p>
    <w:p w:rsidR="006E652D" w:rsidRPr="001873FB" w:rsidP="001873FB" w14:paraId="4DB07B0C" w14:textId="14CCF8A2">
      <w:pPr>
        <w:pStyle w:val="SectionHeading"/>
        <w:numPr>
          <w:ilvl w:val="0"/>
          <w:numId w:val="34"/>
        </w:numPr>
        <w:spacing w:line="276" w:lineRule="auto"/>
        <w:rPr>
          <w:rStyle w:val="Hyperlink"/>
          <w:b w:val="0"/>
          <w:bCs/>
          <w:color w:val="auto"/>
          <w:sz w:val="20"/>
          <w:u w:val="none"/>
        </w:rPr>
      </w:pPr>
      <w:hyperlink r:id="rId32" w:history="1">
        <w:r w:rsidR="00AC58D0">
          <w:rPr>
            <w:rStyle w:val="Hyperlink"/>
            <w:b w:val="0"/>
            <w:bCs/>
            <w:sz w:val="20"/>
          </w:rPr>
          <w:t>ICH Guideline for Good Clinical Practice E6 (Section 8)</w:t>
        </w:r>
      </w:hyperlink>
    </w:p>
    <w:p w:rsidR="006E652D" w:rsidRPr="001873FB" w:rsidP="001873FB" w14:paraId="066D6B4E" w14:textId="77777777">
      <w:pPr>
        <w:pStyle w:val="SectionHeading"/>
        <w:spacing w:line="276" w:lineRule="auto"/>
        <w:ind w:left="1440"/>
        <w:rPr>
          <w:b w:val="0"/>
          <w:bCs/>
          <w:sz w:val="20"/>
        </w:rPr>
      </w:pPr>
    </w:p>
    <w:p w:rsidR="006E652D" w:rsidRPr="001873FB" w:rsidP="007D23F2" w14:paraId="2EBA510D" w14:textId="77777777">
      <w:pPr>
        <w:pStyle w:val="SectionHeading"/>
        <w:numPr>
          <w:ilvl w:val="1"/>
          <w:numId w:val="25"/>
        </w:numPr>
        <w:spacing w:before="120" w:line="276" w:lineRule="auto"/>
        <w:contextualSpacing w:val="0"/>
        <w:rPr>
          <w:sz w:val="20"/>
        </w:rPr>
      </w:pPr>
      <w:r w:rsidRPr="001873FB">
        <w:rPr>
          <w:sz w:val="20"/>
        </w:rPr>
        <w:t>U. S. Food and Drug Administration</w:t>
      </w:r>
    </w:p>
    <w:p w:rsidR="006E652D" w:rsidRPr="001873FB" w:rsidP="001873FB" w14:paraId="3CC41EAA" w14:textId="77777777">
      <w:pPr>
        <w:pStyle w:val="SectionHeading"/>
        <w:numPr>
          <w:ilvl w:val="0"/>
          <w:numId w:val="34"/>
        </w:numPr>
        <w:spacing w:line="276" w:lineRule="auto"/>
        <w:rPr>
          <w:b w:val="0"/>
          <w:bCs/>
          <w:sz w:val="20"/>
        </w:rPr>
      </w:pPr>
      <w:hyperlink r:id="rId33" w:history="1">
        <w:r w:rsidRPr="001873FB">
          <w:rPr>
            <w:rStyle w:val="Hyperlink"/>
            <w:b w:val="0"/>
            <w:bCs/>
            <w:sz w:val="20"/>
          </w:rPr>
          <w:t>U.S. Food and Drug Administration, Title 21 Part 312, Investigational New Drug</w:t>
        </w:r>
      </w:hyperlink>
      <w:r w:rsidRPr="001873FB" w:rsidR="00CB3283">
        <w:rPr>
          <w:b w:val="0"/>
          <w:bCs/>
          <w:sz w:val="20"/>
        </w:rPr>
        <w:t xml:space="preserve"> </w:t>
      </w:r>
    </w:p>
    <w:p w:rsidR="006E652D" w:rsidRPr="001873FB" w:rsidP="001873FB" w14:paraId="4AD92969" w14:textId="77777777">
      <w:pPr>
        <w:pStyle w:val="SectionHeading"/>
        <w:spacing w:line="276" w:lineRule="auto"/>
        <w:ind w:left="1440"/>
        <w:rPr>
          <w:b w:val="0"/>
          <w:bCs/>
          <w:sz w:val="20"/>
        </w:rPr>
      </w:pPr>
    </w:p>
    <w:p w:rsidR="006E652D" w:rsidRPr="001873FB" w:rsidP="007D23F2" w14:paraId="08169031" w14:textId="77777777">
      <w:pPr>
        <w:pStyle w:val="SectionHeading"/>
        <w:numPr>
          <w:ilvl w:val="1"/>
          <w:numId w:val="25"/>
        </w:numPr>
        <w:spacing w:before="120" w:line="276" w:lineRule="auto"/>
        <w:contextualSpacing w:val="0"/>
        <w:rPr>
          <w:sz w:val="20"/>
        </w:rPr>
      </w:pPr>
      <w:r w:rsidRPr="001873FB">
        <w:rPr>
          <w:sz w:val="20"/>
        </w:rPr>
        <w:t>Additional Regulations, Guidance’s and Policies</w:t>
      </w:r>
      <w:bookmarkStart w:id="8" w:name="_Hlk119586797"/>
    </w:p>
    <w:p w:rsidR="006E652D" w:rsidRPr="001873FB" w:rsidP="00CD1AC3" w14:paraId="64A6629E" w14:textId="77777777">
      <w:pPr>
        <w:pStyle w:val="SectionHeading"/>
        <w:numPr>
          <w:ilvl w:val="0"/>
          <w:numId w:val="34"/>
        </w:numPr>
        <w:spacing w:before="120" w:after="0" w:line="276" w:lineRule="auto"/>
        <w:rPr>
          <w:b w:val="0"/>
          <w:bCs/>
          <w:sz w:val="20"/>
        </w:rPr>
      </w:pPr>
      <w:hyperlink r:id="rId34" w:history="1">
        <w:r w:rsidRPr="001873FB">
          <w:rPr>
            <w:rStyle w:val="Hyperlink"/>
            <w:b w:val="0"/>
            <w:bCs/>
            <w:sz w:val="20"/>
          </w:rPr>
          <w:t>Yale Center for Clinical Investigation - Quality Assurance and Monitoring</w:t>
        </w:r>
      </w:hyperlink>
      <w:bookmarkEnd w:id="8"/>
    </w:p>
    <w:p w:rsidR="00AE3C4C" w:rsidRPr="00CB3283" w:rsidP="00CD1AC3" w14:paraId="06735961" w14:textId="77777777">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CB3283">
        <w:rPr>
          <w:color w:val="365F91" w:themeColor="accent1" w:themeShade="BF"/>
          <w:sz w:val="28"/>
          <w:szCs w:val="28"/>
        </w:rPr>
        <w:t>Reference Materials</w:t>
      </w:r>
    </w:p>
    <w:p w:rsidR="00AE3C4C" w:rsidP="001873FB" w14:paraId="12388F78" w14:textId="77777777">
      <w:pPr>
        <w:pStyle w:val="SectionHeading"/>
        <w:spacing w:before="240" w:line="276" w:lineRule="auto"/>
        <w:ind w:left="720"/>
        <w:contextualSpacing w:val="0"/>
        <w:rPr>
          <w:rFonts w:cs="Arial"/>
          <w:b w:val="0"/>
          <w:bCs/>
          <w:sz w:val="20"/>
        </w:rPr>
      </w:pPr>
      <w:r w:rsidRPr="001158BD">
        <w:rPr>
          <w:rFonts w:cs="Arial"/>
          <w:b w:val="0"/>
          <w:bCs/>
          <w:sz w:val="20"/>
        </w:rPr>
        <w:t>Reference materials are located in each functional area’s working directory.</w:t>
      </w:r>
    </w:p>
    <w:p w:rsidR="00AE3C4C" w:rsidRPr="00AE3C4C" w:rsidP="001873FB" w14:paraId="6D992981" w14:textId="77777777">
      <w:pPr>
        <w:pStyle w:val="ListParagraph"/>
        <w:numPr>
          <w:ilvl w:val="0"/>
          <w:numId w:val="29"/>
        </w:numPr>
        <w:spacing w:line="276" w:lineRule="auto"/>
        <w:rPr>
          <w:rFonts w:eastAsiaTheme="minorEastAsia" w:cs="Arial"/>
        </w:rPr>
      </w:pPr>
      <w:r w:rsidRPr="00AE3C4C">
        <w:rPr>
          <w:rFonts w:eastAsiaTheme="minorEastAsia" w:cs="Arial"/>
        </w:rPr>
        <w:t>Site Initiation Visit Confirmation Letter Template</w:t>
      </w:r>
    </w:p>
    <w:p w:rsidR="00AE3C4C" w:rsidRPr="00AE3C4C" w:rsidP="001873FB" w14:paraId="27DA3306" w14:textId="77777777">
      <w:pPr>
        <w:pStyle w:val="ListParagraph"/>
        <w:numPr>
          <w:ilvl w:val="0"/>
          <w:numId w:val="29"/>
        </w:numPr>
        <w:spacing w:line="276" w:lineRule="auto"/>
        <w:rPr>
          <w:rFonts w:eastAsiaTheme="minorEastAsia" w:cs="Arial"/>
        </w:rPr>
      </w:pPr>
      <w:r w:rsidRPr="00AE3C4C">
        <w:rPr>
          <w:rFonts w:eastAsiaTheme="minorEastAsia" w:cs="Arial"/>
        </w:rPr>
        <w:t>Site Initiation Visit Report Template</w:t>
      </w:r>
    </w:p>
    <w:p w:rsidR="00AE3C4C" w:rsidRPr="00AE3C4C" w:rsidP="001873FB" w14:paraId="78E43C13" w14:textId="77777777">
      <w:pPr>
        <w:pStyle w:val="ListParagraph"/>
        <w:numPr>
          <w:ilvl w:val="0"/>
          <w:numId w:val="29"/>
        </w:numPr>
        <w:spacing w:line="276" w:lineRule="auto"/>
        <w:rPr>
          <w:rFonts w:eastAsiaTheme="minorEastAsia" w:cs="Arial"/>
        </w:rPr>
      </w:pPr>
      <w:r w:rsidRPr="00AE3C4C">
        <w:rPr>
          <w:rFonts w:eastAsiaTheme="minorEastAsia" w:cs="Arial"/>
        </w:rPr>
        <w:t xml:space="preserve">Site Initiation Visit Work Instructions for YCCI Monitors </w:t>
      </w:r>
    </w:p>
    <w:p w:rsidR="00AE3C4C" w:rsidRPr="00CB3283" w:rsidP="00FD324B" w14:paraId="4C23683B" w14:textId="77777777">
      <w:pPr>
        <w:pStyle w:val="SectionHeading"/>
        <w:numPr>
          <w:ilvl w:val="0"/>
          <w:numId w:val="25"/>
        </w:numPr>
        <w:spacing w:before="240" w:after="240" w:line="276" w:lineRule="auto"/>
        <w:ind w:left="720" w:hanging="720"/>
        <w:contextualSpacing w:val="0"/>
        <w:rPr>
          <w:b w:val="0"/>
          <w:color w:val="365F91" w:themeColor="accent1" w:themeShade="BF"/>
          <w:sz w:val="28"/>
          <w:szCs w:val="28"/>
        </w:rPr>
      </w:pPr>
      <w:r w:rsidRPr="00CB3283">
        <w:rPr>
          <w:color w:val="365F91" w:themeColor="accent1" w:themeShade="BF"/>
          <w:sz w:val="28"/>
          <w:szCs w:val="28"/>
        </w:rPr>
        <w:t>Version History</w:t>
      </w:r>
    </w:p>
    <w:p w:rsidR="00530712" w:rsidP="001873FB" w14:paraId="19F9F07A" w14:textId="7CFBE9DC">
      <w:pPr>
        <w:numPr>
          <w:ilvl w:val="0"/>
          <w:numId w:val="30"/>
        </w:numPr>
        <w:tabs>
          <w:tab w:val="left" w:pos="1170"/>
        </w:tabs>
        <w:spacing w:before="240" w:after="120" w:line="276" w:lineRule="auto"/>
        <w:ind w:left="1080"/>
        <w:contextualSpacing/>
        <w:rPr>
          <w:rFonts w:ascii="Arial" w:hAnsi="Arial" w:cs="Arial"/>
          <w:bCs/>
          <w:sz w:val="20"/>
        </w:rPr>
      </w:pPr>
      <w:r w:rsidRPr="00382158">
        <w:rPr>
          <w:rFonts w:ascii="Arial" w:hAnsi="Arial" w:cs="Arial"/>
          <w:b/>
          <w:sz w:val="20"/>
        </w:rPr>
        <w:t>1</w:t>
      </w:r>
      <w:r w:rsidR="001873FB">
        <w:rPr>
          <w:rFonts w:ascii="Arial" w:hAnsi="Arial" w:cs="Arial"/>
          <w:b/>
          <w:sz w:val="20"/>
        </w:rPr>
        <w:t>2/</w:t>
      </w:r>
      <w:r w:rsidR="0050275B">
        <w:rPr>
          <w:rFonts w:ascii="Arial" w:hAnsi="Arial" w:cs="Arial"/>
          <w:b/>
          <w:sz w:val="20"/>
        </w:rPr>
        <w:t>0</w:t>
      </w:r>
      <w:r w:rsidR="002E7C7C">
        <w:rPr>
          <w:rFonts w:ascii="Arial" w:hAnsi="Arial" w:cs="Arial"/>
          <w:b/>
          <w:sz w:val="20"/>
        </w:rPr>
        <w:t>1</w:t>
      </w:r>
      <w:r w:rsidRPr="00382158">
        <w:rPr>
          <w:rFonts w:ascii="Arial" w:hAnsi="Arial" w:cs="Arial"/>
          <w:b/>
          <w:sz w:val="20"/>
        </w:rPr>
        <w:t xml:space="preserve">/2023: </w:t>
      </w:r>
      <w:r w:rsidRPr="00382158">
        <w:rPr>
          <w:rFonts w:ascii="Arial" w:hAnsi="Arial" w:cs="Arial"/>
          <w:bCs/>
          <w:sz w:val="20"/>
        </w:rPr>
        <w:t>New document (no prior history)</w:t>
      </w:r>
    </w:p>
    <w:p w:rsidR="00CB3283" w:rsidP="00CB3283" w14:paraId="4C4F0486" w14:textId="395D51BA">
      <w:pPr>
        <w:spacing w:before="240" w:after="240"/>
        <w:contextualSpacing/>
        <w:rPr>
          <w:rFonts w:ascii="Arial" w:hAnsi="Arial"/>
          <w:b/>
          <w:bCs/>
          <w:sz w:val="20"/>
          <w:szCs w:val="24"/>
        </w:rPr>
      </w:pPr>
      <w:r>
        <w:rPr>
          <w:rFonts w:ascii="Arial" w:hAnsi="Arial"/>
          <w:b/>
          <w:bCs/>
          <w:sz w:val="20"/>
          <w:szCs w:val="24"/>
        </w:rPr>
        <w:br/>
      </w:r>
    </w:p>
    <w:p w:rsidR="00CB3283" w:rsidRPr="00CB3283" w:rsidP="00CB3283" w14:paraId="71E2C2CA" w14:textId="1287EA00">
      <w:pPr>
        <w:pStyle w:val="BodyText"/>
        <w:rPr>
          <w:b/>
          <w:bCs/>
          <w:szCs w:val="24"/>
        </w:rPr>
      </w:pPr>
      <w:r w:rsidRPr="00825DBD">
        <w:rPr>
          <w:b/>
          <w:bCs/>
          <w:szCs w:val="24"/>
        </w:rPr>
        <w:t xml:space="preserve">Responsible Official: </w:t>
      </w:r>
      <w:r w:rsidRPr="00825DBD">
        <w:rPr>
          <w:b/>
          <w:bCs/>
          <w:szCs w:val="24"/>
        </w:rPr>
        <w:tab/>
      </w:r>
      <w:r>
        <w:rPr>
          <w:b/>
          <w:bCs/>
          <w:szCs w:val="24"/>
        </w:rPr>
        <w:tab/>
      </w:r>
      <w:r w:rsidRPr="00CB3283">
        <w:rPr>
          <w:szCs w:val="24"/>
        </w:rPr>
        <w:t>Co-Directors</w:t>
      </w:r>
      <w:r w:rsidRPr="00CB3283">
        <w:rPr>
          <w:szCs w:val="24"/>
        </w:rPr>
        <w:br/>
      </w:r>
      <w:r w:rsidRPr="00825DBD">
        <w:rPr>
          <w:b/>
          <w:bCs/>
          <w:szCs w:val="24"/>
        </w:rPr>
        <w:t>Document Administrator:</w:t>
      </w:r>
      <w:r>
        <w:rPr>
          <w:b/>
          <w:bCs/>
          <w:szCs w:val="24"/>
        </w:rPr>
        <w:tab/>
      </w:r>
      <w:r w:rsidRPr="00CB3283">
        <w:rPr>
          <w:szCs w:val="24"/>
        </w:rPr>
        <w:t>Audrey King</w:t>
      </w:r>
      <w:r>
        <w:rPr>
          <w:b/>
          <w:bCs/>
          <w:szCs w:val="24"/>
        </w:rPr>
        <w:br/>
      </w:r>
      <w:r w:rsidRPr="00825DBD">
        <w:rPr>
          <w:b/>
          <w:bCs/>
          <w:szCs w:val="24"/>
        </w:rPr>
        <w:t xml:space="preserve">Date of Origin: </w:t>
      </w:r>
      <w:r w:rsidRPr="00825DBD">
        <w:rPr>
          <w:b/>
          <w:bCs/>
          <w:szCs w:val="24"/>
        </w:rPr>
        <w:tab/>
      </w:r>
      <w:r w:rsidRPr="00825DBD">
        <w:rPr>
          <w:b/>
          <w:bCs/>
          <w:szCs w:val="24"/>
        </w:rPr>
        <w:tab/>
      </w:r>
      <w:r>
        <w:t>01/23/2024</w:t>
      </w:r>
      <w:r>
        <w:br/>
      </w: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rsidRPr="00825DBD">
        <w:instrText xml:space="preserve"> DOCVARIABLE </w:instrText>
      </w:r>
      <w:r w:rsidRPr="00825DBD">
        <w:instrText>Date_Approved</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01/23/2024</w:t>
      </w:r>
      <w:r w:rsidRPr="00825DBD">
        <w:fldChar w:fldCharType="end"/>
      </w:r>
    </w:p>
    <w:sectPr w:rsidSect="0084451B">
      <w:headerReference w:type="even" r:id="rId35"/>
      <w:headerReference w:type="default" r:id="rId36"/>
      <w:footerReference w:type="even" r:id="rId37"/>
      <w:footerReference w:type="default" r:id="rId38"/>
      <w:headerReference w:type="first" r:id="rId39"/>
      <w:footerReference w:type="first" r:id="rId40"/>
      <w:type w:val="continuous"/>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616" w14:paraId="3F6B6C0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rPr>
      <w:id w:val="1613171537"/>
      <w:docPartObj>
        <w:docPartGallery w:val="Page Numbers (Bottom of Page)"/>
        <w:docPartUnique/>
      </w:docPartObj>
    </w:sdtPr>
    <w:sdtContent>
      <w:sdt>
        <w:sdtPr>
          <w:rPr>
            <w:i w:val="0"/>
            <w:iCs/>
          </w:rPr>
          <w:id w:val="-1769616900"/>
          <w:docPartObj>
            <w:docPartGallery w:val="Page Numbers (Top of Page)"/>
            <w:docPartUnique/>
          </w:docPartObj>
        </w:sdt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3482022"/>
      <w:docPartObj>
        <w:docPartGallery w:val="Page Numbers (Bottom of Page)"/>
        <w:docPartUnique/>
      </w:docPartObj>
    </w:sdtPr>
    <w:sdtEndPr>
      <w:rPr>
        <w:i w:val="0"/>
        <w:iCs/>
      </w:rPr>
    </w:sdtEndPr>
    <w:sdtContent>
      <w:sdt>
        <w:sdtPr>
          <w:rPr>
            <w:i w:val="0"/>
            <w:iCs/>
          </w:rPr>
          <w:id w:val="1983688092"/>
          <w:docPartObj>
            <w:docPartGallery w:val="Page Numbers (Top of Page)"/>
            <w:docPartUnique/>
          </w:docPartObj>
        </w:sdt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5</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6A6" w14:paraId="2BA673E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689723013"/>
          <w:docPartObj>
            <w:docPartGallery w:val="Page Numbers (Top of Page)"/>
            <w:docPartUnique/>
          </w:docPartObj>
        </w:sdtPr>
        <w:sdtContent>
          <w:p w:rsidR="00FB16A6" w:rsidRPr="00823578" w:rsidP="00823578" w14:paraId="0426B3E4"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FB16A6" w14:paraId="54FC1AB4"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FB16A6" w14:paraId="66995C9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0A0" w14:paraId="6133798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5268132"/>
      <w:docPartObj>
        <w:docPartGallery w:val="Page Numbers (Bottom of Page)"/>
        <w:docPartUnique/>
      </w:docPartObj>
    </w:sdtPr>
    <w:sdtContent>
      <w:sdt>
        <w:sdtPr>
          <w:id w:val="-227145588"/>
          <w:docPartObj>
            <w:docPartGallery w:val="Page Numbers (Top of Page)"/>
            <w:docPartUnique/>
          </w:docPartObj>
        </w:sdtPr>
        <w:sdtContent>
          <w:p w:rsidR="00A460A0" w:rsidRPr="00823578" w:rsidP="00297F21" w14:paraId="10981885" w14:textId="77777777">
            <w:pPr>
              <w:pStyle w:val="Footer"/>
              <w:pBdr>
                <w:top w:val="none" w:sz="0" w:space="0" w:color="auto"/>
              </w:pBd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5</w:t>
            </w:r>
            <w:r>
              <w:rPr>
                <w:b w:val="0"/>
                <w:bCs/>
                <w:sz w:val="24"/>
                <w:szCs w:val="24"/>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9488985"/>
      <w:docPartObj>
        <w:docPartGallery w:val="Page Numbers (Bottom of Page)"/>
        <w:docPartUnique/>
      </w:docPartObj>
    </w:sdtPr>
    <w:sdtContent>
      <w:sdt>
        <w:sdtPr>
          <w:id w:val="-972670992"/>
          <w:docPartObj>
            <w:docPartGallery w:val="Page Numbers (Top of Page)"/>
            <w:docPartUnique/>
          </w:docPartObj>
        </w:sdtPr>
        <w:sdtContent>
          <w:p w:rsidR="00A460A0" w14:paraId="6265D451"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A460A0" w14:paraId="778F04C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616" w14:paraId="1EB82AB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27DE" w:rsidP="00D12616" w14:paraId="2B3B2DE4" w14:textId="7C1A0876">
    <w:pPr>
      <w:contextualSpacing/>
      <w:rPr>
        <w:rFonts w:ascii="Arial" w:hAnsi="Arial" w:eastAsiaTheme="majorEastAsia" w:cstheme="majorBidi"/>
        <w:b/>
        <w:spacing w:val="-10"/>
        <w:kern w:val="28"/>
        <w:sz w:val="36"/>
        <w:szCs w:val="56"/>
      </w:rPr>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D12616" w:rsidRPr="00D12616" w:rsidP="00D12616" w14:paraId="537D9949" w14:textId="198683FA">
    <w:pPr>
      <w:spacing w:before="120" w:after="120"/>
      <w:rPr>
        <w:rFonts w:ascii="Arial" w:hAnsi="Arial" w:eastAsiaTheme="majorEastAsia" w:cstheme="majorBidi"/>
        <w:b/>
        <w:color w:val="17365D" w:themeColor="text2" w:themeShade="BF"/>
        <w:spacing w:val="-10"/>
        <w:kern w:val="28"/>
        <w:szCs w:val="24"/>
      </w:rPr>
    </w:pPr>
    <w:r w:rsidRPr="00CB3283">
      <w:rPr>
        <w:rFonts w:ascii="Arial" w:hAnsi="Arial" w:eastAsiaTheme="majorEastAsia" w:cstheme="majorBidi"/>
        <w:b/>
        <w:color w:val="17365D" w:themeColor="text2" w:themeShade="BF"/>
        <w:spacing w:val="-10"/>
        <w:kern w:val="28"/>
        <w:sz w:val="36"/>
        <w:szCs w:val="56"/>
      </w:rPr>
      <w:fldChar w:fldCharType="begin"/>
    </w:r>
    <w:r w:rsidRPr="00CB3283">
      <w:rPr>
        <w:rFonts w:ascii="Arial" w:hAnsi="Arial" w:eastAsiaTheme="majorEastAsia" w:cstheme="majorBidi"/>
        <w:b/>
        <w:color w:val="17365D" w:themeColor="text2" w:themeShade="BF"/>
        <w:spacing w:val="-10"/>
        <w:kern w:val="28"/>
        <w:sz w:val="36"/>
        <w:szCs w:val="56"/>
      </w:rPr>
      <w:instrText xml:space="preserve"> DOCVARIABLE </w:instrText>
    </w:r>
    <w:r w:rsidRPr="00CB3283">
      <w:rPr>
        <w:rFonts w:ascii="Arial" w:hAnsi="Arial" w:eastAsiaTheme="majorEastAsia" w:cstheme="majorBidi"/>
        <w:b/>
        <w:color w:val="17365D" w:themeColor="text2" w:themeShade="BF"/>
        <w:spacing w:val="-10"/>
        <w:kern w:val="28"/>
        <w:sz w:val="36"/>
        <w:szCs w:val="56"/>
      </w:rPr>
      <w:instrText>Document_Title</w:instrText>
    </w:r>
    <w:r w:rsidRPr="00CB3283">
      <w:rPr>
        <w:rFonts w:ascii="Arial" w:hAnsi="Arial" w:eastAsiaTheme="majorEastAsia" w:cstheme="majorBidi"/>
        <w:b/>
        <w:color w:val="17365D" w:themeColor="text2" w:themeShade="BF"/>
        <w:spacing w:val="-10"/>
        <w:kern w:val="28"/>
        <w:sz w:val="36"/>
        <w:szCs w:val="56"/>
      </w:rPr>
      <w:instrText xml:space="preserve"> </w:instrText>
    </w:r>
    <w:r w:rsidRPr="00CB3283">
      <w:rPr>
        <w:rFonts w:ascii="Arial" w:hAnsi="Arial" w:eastAsiaTheme="majorEastAsia" w:cstheme="majorBidi"/>
        <w:b/>
        <w:color w:val="17365D" w:themeColor="text2" w:themeShade="BF"/>
        <w:spacing w:val="-10"/>
        <w:kern w:val="28"/>
        <w:sz w:val="36"/>
        <w:szCs w:val="56"/>
      </w:rPr>
      <w:instrText>\*</w:instrText>
    </w:r>
    <w:r w:rsidRPr="00CB3283">
      <w:rPr>
        <w:rFonts w:ascii="Arial" w:hAnsi="Arial" w:eastAsiaTheme="majorEastAsia" w:cstheme="majorBidi"/>
        <w:b/>
        <w:color w:val="17365D" w:themeColor="text2" w:themeShade="BF"/>
        <w:spacing w:val="-10"/>
        <w:kern w:val="28"/>
        <w:sz w:val="36"/>
        <w:szCs w:val="56"/>
      </w:rPr>
      <w:instrText xml:space="preserve"> </w:instrText>
    </w:r>
    <w:r w:rsidRPr="00CB3283">
      <w:rPr>
        <w:rFonts w:ascii="Arial" w:hAnsi="Arial" w:eastAsiaTheme="majorEastAsia" w:cstheme="majorBidi"/>
        <w:b/>
        <w:color w:val="17365D" w:themeColor="text2" w:themeShade="BF"/>
        <w:spacing w:val="-10"/>
        <w:kern w:val="28"/>
        <w:sz w:val="36"/>
        <w:szCs w:val="56"/>
      </w:rPr>
      <w:instrText>MERGEFORMAT</w:instrText>
    </w:r>
    <w:r w:rsidRPr="00CB3283">
      <w:rPr>
        <w:rFonts w:ascii="Arial" w:hAnsi="Arial" w:eastAsiaTheme="majorEastAsia" w:cstheme="majorBidi"/>
        <w:b/>
        <w:color w:val="17365D" w:themeColor="text2" w:themeShade="BF"/>
        <w:spacing w:val="-10"/>
        <w:kern w:val="28"/>
        <w:sz w:val="36"/>
        <w:szCs w:val="56"/>
      </w:rPr>
      <w:instrText xml:space="preserve"> </w:instrText>
    </w:r>
    <w:r w:rsidRPr="00CB3283">
      <w:rPr>
        <w:rFonts w:ascii="Arial" w:hAnsi="Arial" w:eastAsiaTheme="majorEastAsia" w:cstheme="majorBidi"/>
        <w:b/>
        <w:color w:val="17365D" w:themeColor="text2" w:themeShade="BF"/>
        <w:spacing w:val="-10"/>
        <w:kern w:val="28"/>
        <w:sz w:val="36"/>
        <w:szCs w:val="56"/>
      </w:rPr>
      <w:fldChar w:fldCharType="separate"/>
    </w:r>
    <w:r w:rsidRPr="00CB3283">
      <w:rPr>
        <w:rFonts w:ascii="Arial" w:hAnsi="Arial" w:eastAsiaTheme="majorEastAsia" w:cstheme="majorBidi"/>
        <w:b/>
        <w:color w:val="17365D" w:themeColor="text2" w:themeShade="BF"/>
        <w:spacing w:val="-10"/>
        <w:kern w:val="28"/>
        <w:sz w:val="36"/>
        <w:szCs w:val="56"/>
      </w:rPr>
      <w:t>Site Initiation Visits (Sponsor) -0502- Procedure</w:t>
    </w:r>
    <w:r w:rsidRPr="00CB3283">
      <w:rPr>
        <w:rFonts w:ascii="Arial" w:hAnsi="Arial" w:eastAsiaTheme="majorEastAsia" w:cstheme="majorBidi"/>
        <w:b/>
        <w:color w:val="17365D" w:themeColor="text2" w:themeShade="BF"/>
        <w:spacing w:val="-10"/>
        <w:kern w:val="28"/>
        <w:sz w:val="36"/>
        <w:szCs w:val="56"/>
      </w:rPr>
      <w:fldChar w:fldCharType="end"/>
    </w:r>
  </w:p>
  <w:p w:rsidR="00D12616" w:rsidP="00D12616" w14:paraId="2D242C51" w14:textId="06A3F8D0">
    <w:pPr>
      <w:pBdr>
        <w:bottom w:val="single" w:sz="4" w:space="1" w:color="auto"/>
      </w:pBdr>
      <w:rPr>
        <w:rFonts w:ascii="Arial" w:hAnsi="Arial"/>
        <w:b/>
        <w:bCs/>
        <w:sz w:val="20"/>
        <w:szCs w:val="24"/>
      </w:rPr>
    </w:pPr>
    <w:r>
      <w:rPr>
        <w:rFonts w:ascii="Arial" w:hAnsi="Arial"/>
        <w:b/>
        <w:bCs/>
        <w:sz w:val="20"/>
        <w:szCs w:val="24"/>
      </w:rPr>
      <w:pict>
        <v:rect id="_x0000_i2049" style="width:0;height:1.5pt" o:hralign="center" o:hrstd="t" o:hr="t" fillcolor="#a0a0a0" stroked="f"/>
      </w:pict>
    </w:r>
  </w:p>
  <w:p w:rsidR="00D12616" w:rsidP="00D12616" w14:paraId="759F6A4A" w14:textId="3C95A23C">
    <w:pPr>
      <w:pBdr>
        <w:bottom w:val="single" w:sz="4" w:space="1" w:color="auto"/>
      </w:pBdr>
      <w:spacing w:before="240"/>
      <w:rPr>
        <w:rFonts w:ascii="Arial" w:hAnsi="Arial" w:eastAsiaTheme="majorEastAsia" w:cstheme="majorBidi"/>
        <w:b/>
        <w:color w:val="17365D" w:themeColor="text2" w:themeShade="BF"/>
        <w:spacing w:val="-10"/>
        <w:kern w:val="28"/>
        <w:szCs w:val="24"/>
      </w:rPr>
    </w:pPr>
    <w:r>
      <w:rPr>
        <w:rFonts w:ascii="Arial" w:hAnsi="Arial"/>
        <w:b/>
        <w:bCs/>
        <w:sz w:val="20"/>
        <w:szCs w:val="24"/>
      </w:rPr>
      <w:t>R</w:t>
    </w:r>
    <w:r w:rsidRPr="00825DBD">
      <w:rPr>
        <w:rFonts w:ascii="Arial" w:hAnsi="Arial"/>
        <w:b/>
        <w:bCs/>
        <w:sz w:val="20"/>
        <w:szCs w:val="24"/>
      </w:rPr>
      <w:t>esponsible Office:</w:t>
    </w:r>
    <w:r w:rsidRPr="00825DBD">
      <w:rPr>
        <w:rFonts w:ascii="Arial" w:hAnsi="Arial"/>
        <w:b/>
        <w:bCs/>
        <w:sz w:val="20"/>
        <w:szCs w:val="24"/>
      </w:rPr>
      <w:tab/>
    </w:r>
    <w:r w:rsidRPr="00825DBD">
      <w:rPr>
        <w:rFonts w:ascii="Arial" w:hAnsi="Arial"/>
        <w:b/>
        <w:bCs/>
        <w:sz w:val="20"/>
        <w:szCs w:val="24"/>
      </w:rPr>
      <w:tab/>
    </w:r>
    <w:r w:rsidR="00F16B07">
      <w:rPr>
        <w:rFonts w:ascii="Arial" w:hAnsi="Arial"/>
        <w:sz w:val="20"/>
      </w:rPr>
      <w:t>YCCI</w:t>
    </w:r>
  </w:p>
  <w:p w:rsidR="00825DBD" w:rsidRPr="00D12616" w:rsidP="00D12616" w14:paraId="43E96EFA" w14:textId="5900252F">
    <w:pPr>
      <w:pBdr>
        <w:bottom w:val="single" w:sz="4" w:space="1" w:color="auto"/>
      </w:pBdr>
      <w:rPr>
        <w:rFonts w:ascii="Arial" w:hAnsi="Arial" w:eastAsiaTheme="majorEastAsia" w:cstheme="majorBidi"/>
        <w:b/>
        <w:color w:val="17365D" w:themeColor="text2" w:themeShade="BF"/>
        <w:spacing w:val="-10"/>
        <w:kern w:val="28"/>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F16B07">
      <w:rPr>
        <w:rFonts w:ascii="Arial" w:hAnsi="Arial"/>
        <w:sz w:val="20"/>
      </w:rPr>
      <w:t>Julie Holub</w:t>
    </w:r>
    <w:r>
      <w:rPr>
        <w:rFonts w:ascii="Arial" w:hAnsi="Arial"/>
        <w:sz w:val="20"/>
      </w:rPr>
      <w:t>, Theresa Goddard</w:t>
    </w:r>
  </w:p>
  <w:p w:rsidR="00CB3283" w:rsidRPr="00CB3283" w:rsidP="00D12616" w14:paraId="5850D0CC" w14:textId="1BF3956D">
    <w:pPr>
      <w:pBdr>
        <w:bottom w:val="single" w:sz="4"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01/23/2024</w:t>
    </w:r>
    <w:r w:rsidRPr="00825DBD">
      <w:rPr>
        <w:rFonts w:ascii="Arial" w:hAnsi="Arial"/>
        <w:sz w:val="20"/>
      </w:rPr>
      <w:fldChar w:fldCharType="end"/>
    </w:r>
    <w:r>
      <w:rPr>
        <w:rFonts w:ascii="Arial" w:hAnsi="Arial"/>
        <w:sz w:val="20"/>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6A6" w14:paraId="67CA180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6A6" w14:paraId="488EDFF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6A6" w:rsidP="004135B1" w14:paraId="538DFCA2" w14:textId="77777777">
    <w:pPr>
      <w:pStyle w:val="DocTitle"/>
      <w:pBdr>
        <w:bottom w:val="none" w:sz="0" w:space="0" w:color="auto"/>
      </w:pBdr>
    </w:pPr>
    <w:r>
      <w:rPr>
        <w:noProof/>
      </w:rPr>
      <w:drawing>
        <wp:inline distT="0" distB="0" distL="0" distR="0">
          <wp:extent cx="2505075" cy="742950"/>
          <wp:effectExtent l="0" t="0" r="9525" b="0"/>
          <wp:docPr id="732645245" name="Picture 732645245"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32645245"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FB16A6" w:rsidRPr="00F95CFD" w:rsidP="002E77C3" w14:paraId="0921BC34"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Site Initiation Visits (Sponsor) -0502- Procedure</w:t>
    </w:r>
    <w:r w:rsidRPr="00F95CFD">
      <w:rPr>
        <w:b/>
        <w:bCs/>
        <w:sz w:val="36"/>
        <w:szCs w:val="36"/>
      </w:rPr>
      <w:fldChar w:fldCharType="end"/>
    </w:r>
  </w:p>
  <w:p w:rsidR="00FB16A6" w:rsidP="008D3096" w14:paraId="6E3DD933" w14:textId="77777777">
    <w:pPr>
      <w:rPr>
        <w:b/>
        <w:bCs/>
        <w:szCs w:val="24"/>
      </w:rPr>
    </w:pPr>
  </w:p>
  <w:p w:rsidR="00FB16A6" w:rsidRPr="00825DBD" w:rsidP="008D3096" w14:paraId="55C27036"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FB16A6" w:rsidRPr="00825DBD" w:rsidP="008D3096" w14:paraId="1F57BD08"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FB16A6" w:rsidRPr="00825DBD" w:rsidP="008D3096" w14:paraId="03FBA796"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Julie Holub, Theresa Goddard</w:t>
    </w:r>
    <w:r>
      <w:fldChar w:fldCharType="end"/>
    </w:r>
    <w:r>
      <w:t xml:space="preserve"> (Writer’s name and title as reflected in PT)</w:t>
    </w:r>
  </w:p>
  <w:p w:rsidR="00FB16A6" w:rsidRPr="00825DBD" w:rsidP="008D3096" w14:paraId="6858EA80"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FB16A6" w:rsidRPr="00825DBD" w:rsidP="008D3096" w14:paraId="36291581"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FB16A6" w:rsidRPr="00825DBD" w:rsidP="008D3096" w14:paraId="612ACA02"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FB16A6" w:rsidRPr="008D3096" w:rsidP="004135B1" w14:paraId="419487E4"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r>
      <w:rPr>
        <w:b/>
        <w:bCs/>
        <w:szCs w:val="24"/>
      </w:rPr>
      <w:br/>
    </w:r>
    <w:r w:rsidRPr="00825DBD">
      <w:rPr>
        <w:b/>
        <w:bCs/>
        <w:szCs w:val="24"/>
      </w:rPr>
      <w:tab/>
    </w:r>
    <w:r>
      <w:rPr>
        <w:b/>
        <w:bCs/>
        <w:szCs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0A0" w14:paraId="2B301C0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0A0" w:rsidRPr="00924919" w:rsidP="00836CD4" w14:paraId="67050AB0" w14:textId="77777777">
    <w:pPr>
      <w:pStyle w:val="Header"/>
      <w:pBdr>
        <w:top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0A0" w:rsidP="004135B1" w14:paraId="06569AB3" w14:textId="77777777">
    <w:pPr>
      <w:pStyle w:val="DocTitle"/>
      <w:pBdr>
        <w:bottom w:val="none" w:sz="0" w:space="0" w:color="auto"/>
      </w:pBdr>
    </w:pPr>
    <w:r>
      <w:rPr>
        <w:noProof/>
      </w:rPr>
      <w:drawing>
        <wp:inline distT="0" distB="0" distL="0" distR="0">
          <wp:extent cx="2505075" cy="742950"/>
          <wp:effectExtent l="0" t="0" r="9525" b="0"/>
          <wp:docPr id="438214182" name="Picture 438214182"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38214182"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A460A0" w:rsidRPr="00F95CFD" w:rsidP="002E77C3" w14:paraId="43797342"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Site Initiation Visits (Sponsor) -0502- Procedure</w:t>
    </w:r>
    <w:r w:rsidRPr="00F95CFD">
      <w:rPr>
        <w:b/>
        <w:bCs/>
        <w:sz w:val="36"/>
        <w:szCs w:val="36"/>
      </w:rPr>
      <w:fldChar w:fldCharType="end"/>
    </w:r>
  </w:p>
  <w:p w:rsidR="00A460A0" w:rsidP="008D3096" w14:paraId="25478797" w14:textId="77777777">
    <w:pPr>
      <w:rPr>
        <w:b/>
        <w:bCs/>
        <w:szCs w:val="24"/>
      </w:rPr>
    </w:pPr>
  </w:p>
  <w:p w:rsidR="00A460A0" w:rsidRPr="00825DBD" w:rsidP="008D3096" w14:paraId="442972D0"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A460A0" w:rsidRPr="00825DBD" w:rsidP="008D3096" w14:paraId="05266FEE"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A460A0" w:rsidRPr="00825DBD" w:rsidP="008D3096" w14:paraId="2EA0B330"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Julie Holub, Theresa Goddard</w:t>
    </w:r>
    <w:r>
      <w:fldChar w:fldCharType="end"/>
    </w:r>
    <w:r>
      <w:t xml:space="preserve"> (Writer’s name and title as reflected in PT)</w:t>
    </w:r>
  </w:p>
  <w:p w:rsidR="00A460A0" w:rsidRPr="00825DBD" w:rsidP="008D3096" w14:paraId="6606F4FA"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A460A0" w:rsidRPr="00825DBD" w:rsidP="008D3096" w14:paraId="33F11208"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A460A0" w:rsidRPr="00825DBD" w:rsidP="008D3096" w14:paraId="424D965F"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A460A0" w:rsidRPr="008D3096" w:rsidP="004135B1" w14:paraId="358E8FB5"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r>
      <w:rPr>
        <w:b/>
        <w:bCs/>
        <w:szCs w:val="24"/>
      </w:rPr>
      <w:br/>
    </w: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4224086"/>
    <w:multiLevelType w:val="hybridMultilevel"/>
    <w:tmpl w:val="49628F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5"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176C50E0"/>
    <w:multiLevelType w:val="hybridMultilevel"/>
    <w:tmpl w:val="ACAE33C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2A24923"/>
    <w:multiLevelType w:val="hybridMultilevel"/>
    <w:tmpl w:val="F38CCC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27A4778C"/>
    <w:multiLevelType w:val="hybridMultilevel"/>
    <w:tmpl w:val="648854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15:restartNumberingAfterBreak="0">
    <w:nsid w:val="418D090C"/>
    <w:multiLevelType w:val="multilevel"/>
    <w:tmpl w:val="92FC5A76"/>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E0646FC"/>
    <w:multiLevelType w:val="hybridMultilevel"/>
    <w:tmpl w:val="86D87C3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66208C"/>
    <w:multiLevelType w:val="hybridMultilevel"/>
    <w:tmpl w:val="4CD626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703B611F"/>
    <w:multiLevelType w:val="multilevel"/>
    <w:tmpl w:val="FB548D02"/>
    <w:lvl w:ilvl="0">
      <w:start w:val="1"/>
      <w:numFmt w:val="decimal"/>
      <w:lvlText w:val="%1.0"/>
      <w:lvlJc w:val="left"/>
      <w:pPr>
        <w:ind w:left="6480" w:hanging="360"/>
      </w:pPr>
      <w:rPr>
        <w:rFonts w:hint="default"/>
        <w:b/>
        <w:bCs/>
        <w:color w:val="365F91" w:themeColor="accent1" w:themeShade="BF"/>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15:restartNumberingAfterBreak="0">
    <w:nsid w:val="75D833A6"/>
    <w:multiLevelType w:val="hybridMultilevel"/>
    <w:tmpl w:val="AE2080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num w:numId="1" w16cid:durableId="1757894480">
    <w:abstractNumId w:val="33"/>
  </w:num>
  <w:num w:numId="2" w16cid:durableId="2019381590">
    <w:abstractNumId w:val="7"/>
  </w:num>
  <w:num w:numId="3" w16cid:durableId="1314800816">
    <w:abstractNumId w:val="6"/>
  </w:num>
  <w:num w:numId="4" w16cid:durableId="660541806">
    <w:abstractNumId w:val="4"/>
  </w:num>
  <w:num w:numId="5" w16cid:durableId="1718890816">
    <w:abstractNumId w:val="11"/>
  </w:num>
  <w:num w:numId="6" w16cid:durableId="1626815938">
    <w:abstractNumId w:val="32"/>
  </w:num>
  <w:num w:numId="7" w16cid:durableId="188033005">
    <w:abstractNumId w:val="3"/>
  </w:num>
  <w:num w:numId="8" w16cid:durableId="2001611608">
    <w:abstractNumId w:val="14"/>
  </w:num>
  <w:num w:numId="9" w16cid:durableId="158431147">
    <w:abstractNumId w:val="16"/>
  </w:num>
  <w:num w:numId="10" w16cid:durableId="1045829789">
    <w:abstractNumId w:val="18"/>
  </w:num>
  <w:num w:numId="11" w16cid:durableId="1776097496">
    <w:abstractNumId w:val="15"/>
  </w:num>
  <w:num w:numId="12" w16cid:durableId="1191451107">
    <w:abstractNumId w:val="27"/>
  </w:num>
  <w:num w:numId="13" w16cid:durableId="1459301750">
    <w:abstractNumId w:val="8"/>
  </w:num>
  <w:num w:numId="14" w16cid:durableId="1259217049">
    <w:abstractNumId w:val="23"/>
  </w:num>
  <w:num w:numId="15" w16cid:durableId="447549081">
    <w:abstractNumId w:val="0"/>
  </w:num>
  <w:num w:numId="16" w16cid:durableId="617378431">
    <w:abstractNumId w:val="28"/>
  </w:num>
  <w:num w:numId="17" w16cid:durableId="1120606456">
    <w:abstractNumId w:val="5"/>
  </w:num>
  <w:num w:numId="18" w16cid:durableId="638460244">
    <w:abstractNumId w:val="22"/>
  </w:num>
  <w:num w:numId="19" w16cid:durableId="1415470845">
    <w:abstractNumId w:val="19"/>
  </w:num>
  <w:num w:numId="20" w16cid:durableId="1461455832">
    <w:abstractNumId w:val="31"/>
  </w:num>
  <w:num w:numId="21" w16cid:durableId="155189563">
    <w:abstractNumId w:val="10"/>
  </w:num>
  <w:num w:numId="22" w16cid:durableId="1399865994">
    <w:abstractNumId w:val="20"/>
  </w:num>
  <w:num w:numId="23" w16cid:durableId="1921015956">
    <w:abstractNumId w:val="17"/>
  </w:num>
  <w:num w:numId="24" w16cid:durableId="1438139736">
    <w:abstractNumId w:val="24"/>
  </w:num>
  <w:num w:numId="25" w16cid:durableId="250703795">
    <w:abstractNumId w:val="26"/>
  </w:num>
  <w:num w:numId="26" w16cid:durableId="724915521">
    <w:abstractNumId w:val="30"/>
  </w:num>
  <w:num w:numId="27" w16cid:durableId="500314971">
    <w:abstractNumId w:val="29"/>
  </w:num>
  <w:num w:numId="28" w16cid:durableId="1172641982">
    <w:abstractNumId w:val="25"/>
  </w:num>
  <w:num w:numId="29" w16cid:durableId="1450775987">
    <w:abstractNumId w:val="9"/>
  </w:num>
  <w:num w:numId="30" w16cid:durableId="757554403">
    <w:abstractNumId w:val="1"/>
  </w:num>
  <w:num w:numId="31" w16cid:durableId="257251827">
    <w:abstractNumId w:val="2"/>
  </w:num>
  <w:num w:numId="32" w16cid:durableId="57556363">
    <w:abstractNumId w:val="21"/>
  </w:num>
  <w:num w:numId="33" w16cid:durableId="2108039410">
    <w:abstractNumId w:val="12"/>
  </w:num>
  <w:num w:numId="34" w16cid:durableId="196977322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C2F"/>
    <w:rsid w:val="000169BC"/>
    <w:rsid w:val="00022D91"/>
    <w:rsid w:val="0002391B"/>
    <w:rsid w:val="00025CC9"/>
    <w:rsid w:val="00033FF2"/>
    <w:rsid w:val="0005290F"/>
    <w:rsid w:val="00060401"/>
    <w:rsid w:val="00070F28"/>
    <w:rsid w:val="0007105D"/>
    <w:rsid w:val="000835A5"/>
    <w:rsid w:val="0008413B"/>
    <w:rsid w:val="000941F9"/>
    <w:rsid w:val="000968D8"/>
    <w:rsid w:val="000A0153"/>
    <w:rsid w:val="000A08B8"/>
    <w:rsid w:val="000A1546"/>
    <w:rsid w:val="000A2594"/>
    <w:rsid w:val="000A5C78"/>
    <w:rsid w:val="000A60CE"/>
    <w:rsid w:val="000A64C5"/>
    <w:rsid w:val="000B5AF4"/>
    <w:rsid w:val="000C570F"/>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6501"/>
    <w:rsid w:val="00107E52"/>
    <w:rsid w:val="00113637"/>
    <w:rsid w:val="001158BD"/>
    <w:rsid w:val="00117703"/>
    <w:rsid w:val="00121A11"/>
    <w:rsid w:val="00123E33"/>
    <w:rsid w:val="001251D9"/>
    <w:rsid w:val="0012718A"/>
    <w:rsid w:val="0013647A"/>
    <w:rsid w:val="00142309"/>
    <w:rsid w:val="0015648B"/>
    <w:rsid w:val="00162BCF"/>
    <w:rsid w:val="0016649B"/>
    <w:rsid w:val="001669A2"/>
    <w:rsid w:val="001719AC"/>
    <w:rsid w:val="0017611A"/>
    <w:rsid w:val="00177A9C"/>
    <w:rsid w:val="00181446"/>
    <w:rsid w:val="001820E8"/>
    <w:rsid w:val="00182572"/>
    <w:rsid w:val="00183283"/>
    <w:rsid w:val="001873FB"/>
    <w:rsid w:val="001955CA"/>
    <w:rsid w:val="001970F4"/>
    <w:rsid w:val="001A0CFC"/>
    <w:rsid w:val="001A7501"/>
    <w:rsid w:val="001A7AF1"/>
    <w:rsid w:val="001B4791"/>
    <w:rsid w:val="001B4B7F"/>
    <w:rsid w:val="001B5AC9"/>
    <w:rsid w:val="001B7B5D"/>
    <w:rsid w:val="001C0339"/>
    <w:rsid w:val="001C0799"/>
    <w:rsid w:val="001C1FDD"/>
    <w:rsid w:val="001C49D4"/>
    <w:rsid w:val="001C57F3"/>
    <w:rsid w:val="001C7346"/>
    <w:rsid w:val="001D0E49"/>
    <w:rsid w:val="001D6E12"/>
    <w:rsid w:val="001E2F63"/>
    <w:rsid w:val="001E482E"/>
    <w:rsid w:val="001E7CC9"/>
    <w:rsid w:val="001F2D93"/>
    <w:rsid w:val="001F686B"/>
    <w:rsid w:val="001F7A0B"/>
    <w:rsid w:val="002039C7"/>
    <w:rsid w:val="00205B46"/>
    <w:rsid w:val="002069F0"/>
    <w:rsid w:val="00206E20"/>
    <w:rsid w:val="00210637"/>
    <w:rsid w:val="002130FF"/>
    <w:rsid w:val="00214C14"/>
    <w:rsid w:val="00216640"/>
    <w:rsid w:val="00220BEF"/>
    <w:rsid w:val="00235CE5"/>
    <w:rsid w:val="0024199A"/>
    <w:rsid w:val="00241AD2"/>
    <w:rsid w:val="0024564B"/>
    <w:rsid w:val="00245C8F"/>
    <w:rsid w:val="002465D2"/>
    <w:rsid w:val="00247AF1"/>
    <w:rsid w:val="00260B84"/>
    <w:rsid w:val="002632F6"/>
    <w:rsid w:val="00267874"/>
    <w:rsid w:val="00267E18"/>
    <w:rsid w:val="00270074"/>
    <w:rsid w:val="00270C14"/>
    <w:rsid w:val="00271E24"/>
    <w:rsid w:val="002725F4"/>
    <w:rsid w:val="002742C0"/>
    <w:rsid w:val="00277B7B"/>
    <w:rsid w:val="00281F82"/>
    <w:rsid w:val="00282C2E"/>
    <w:rsid w:val="00283BBB"/>
    <w:rsid w:val="00285BB2"/>
    <w:rsid w:val="00286C21"/>
    <w:rsid w:val="002875E0"/>
    <w:rsid w:val="002936CD"/>
    <w:rsid w:val="002961AE"/>
    <w:rsid w:val="0029754C"/>
    <w:rsid w:val="00297F21"/>
    <w:rsid w:val="002A21AD"/>
    <w:rsid w:val="002A5D5B"/>
    <w:rsid w:val="002A73EE"/>
    <w:rsid w:val="002A7B86"/>
    <w:rsid w:val="002B175D"/>
    <w:rsid w:val="002B183A"/>
    <w:rsid w:val="002B21E1"/>
    <w:rsid w:val="002B7A89"/>
    <w:rsid w:val="002C4A64"/>
    <w:rsid w:val="002C5207"/>
    <w:rsid w:val="002C691D"/>
    <w:rsid w:val="002C6E0D"/>
    <w:rsid w:val="002D15C4"/>
    <w:rsid w:val="002D1D51"/>
    <w:rsid w:val="002D2D38"/>
    <w:rsid w:val="002D4024"/>
    <w:rsid w:val="002D50E3"/>
    <w:rsid w:val="002D65C1"/>
    <w:rsid w:val="002E0BB3"/>
    <w:rsid w:val="002E77C3"/>
    <w:rsid w:val="002E7C7C"/>
    <w:rsid w:val="002F0024"/>
    <w:rsid w:val="002F3DC2"/>
    <w:rsid w:val="00300226"/>
    <w:rsid w:val="0030403E"/>
    <w:rsid w:val="00304E50"/>
    <w:rsid w:val="00312D54"/>
    <w:rsid w:val="00312F87"/>
    <w:rsid w:val="00317E90"/>
    <w:rsid w:val="00320658"/>
    <w:rsid w:val="00321D0F"/>
    <w:rsid w:val="00323BDA"/>
    <w:rsid w:val="00327832"/>
    <w:rsid w:val="00331229"/>
    <w:rsid w:val="003313D9"/>
    <w:rsid w:val="00331873"/>
    <w:rsid w:val="00332C67"/>
    <w:rsid w:val="00334D7C"/>
    <w:rsid w:val="00340AF8"/>
    <w:rsid w:val="00343BC4"/>
    <w:rsid w:val="003472AD"/>
    <w:rsid w:val="0034772D"/>
    <w:rsid w:val="003548BF"/>
    <w:rsid w:val="00355FB9"/>
    <w:rsid w:val="00357543"/>
    <w:rsid w:val="00364A0D"/>
    <w:rsid w:val="00371C80"/>
    <w:rsid w:val="00376716"/>
    <w:rsid w:val="00382158"/>
    <w:rsid w:val="00387406"/>
    <w:rsid w:val="00387573"/>
    <w:rsid w:val="00390BDE"/>
    <w:rsid w:val="00390FC2"/>
    <w:rsid w:val="00392960"/>
    <w:rsid w:val="003A23F3"/>
    <w:rsid w:val="003A24A9"/>
    <w:rsid w:val="003A347D"/>
    <w:rsid w:val="003A491F"/>
    <w:rsid w:val="003A622B"/>
    <w:rsid w:val="003B160A"/>
    <w:rsid w:val="003B1AB5"/>
    <w:rsid w:val="003B57D2"/>
    <w:rsid w:val="003B65E2"/>
    <w:rsid w:val="003B786B"/>
    <w:rsid w:val="003C246D"/>
    <w:rsid w:val="003C73AC"/>
    <w:rsid w:val="003D5567"/>
    <w:rsid w:val="003D77FD"/>
    <w:rsid w:val="003E13B0"/>
    <w:rsid w:val="003E23FF"/>
    <w:rsid w:val="003E469B"/>
    <w:rsid w:val="003F02CE"/>
    <w:rsid w:val="003F08E7"/>
    <w:rsid w:val="003F1630"/>
    <w:rsid w:val="003F429B"/>
    <w:rsid w:val="003F76D1"/>
    <w:rsid w:val="004038C4"/>
    <w:rsid w:val="004069B9"/>
    <w:rsid w:val="00407B99"/>
    <w:rsid w:val="004135B1"/>
    <w:rsid w:val="004142AB"/>
    <w:rsid w:val="0041431B"/>
    <w:rsid w:val="00416917"/>
    <w:rsid w:val="00423312"/>
    <w:rsid w:val="00423D18"/>
    <w:rsid w:val="00425047"/>
    <w:rsid w:val="00426D84"/>
    <w:rsid w:val="00426DC3"/>
    <w:rsid w:val="00430EFA"/>
    <w:rsid w:val="00446703"/>
    <w:rsid w:val="004676A5"/>
    <w:rsid w:val="00475772"/>
    <w:rsid w:val="0047723D"/>
    <w:rsid w:val="00477589"/>
    <w:rsid w:val="00483DE8"/>
    <w:rsid w:val="00491530"/>
    <w:rsid w:val="00491760"/>
    <w:rsid w:val="00493005"/>
    <w:rsid w:val="004968D4"/>
    <w:rsid w:val="004A0C25"/>
    <w:rsid w:val="004A4DD7"/>
    <w:rsid w:val="004A5EBC"/>
    <w:rsid w:val="004B16B0"/>
    <w:rsid w:val="004B2E2E"/>
    <w:rsid w:val="004B40C4"/>
    <w:rsid w:val="004B4C5C"/>
    <w:rsid w:val="004C2940"/>
    <w:rsid w:val="004C5C00"/>
    <w:rsid w:val="004C70F6"/>
    <w:rsid w:val="004C713B"/>
    <w:rsid w:val="004D23FD"/>
    <w:rsid w:val="004D72E4"/>
    <w:rsid w:val="004E0064"/>
    <w:rsid w:val="004E39DE"/>
    <w:rsid w:val="004F0266"/>
    <w:rsid w:val="004F03D4"/>
    <w:rsid w:val="004F0A2A"/>
    <w:rsid w:val="004F57B3"/>
    <w:rsid w:val="004F6FC2"/>
    <w:rsid w:val="0050275B"/>
    <w:rsid w:val="005027DE"/>
    <w:rsid w:val="0051312B"/>
    <w:rsid w:val="00520E45"/>
    <w:rsid w:val="005214FC"/>
    <w:rsid w:val="005217FD"/>
    <w:rsid w:val="005238DD"/>
    <w:rsid w:val="005240F3"/>
    <w:rsid w:val="00526DCB"/>
    <w:rsid w:val="0052796E"/>
    <w:rsid w:val="00530712"/>
    <w:rsid w:val="00533692"/>
    <w:rsid w:val="00537E81"/>
    <w:rsid w:val="005434C8"/>
    <w:rsid w:val="00552EFC"/>
    <w:rsid w:val="0056675B"/>
    <w:rsid w:val="005668EC"/>
    <w:rsid w:val="00567F11"/>
    <w:rsid w:val="00571237"/>
    <w:rsid w:val="005777ED"/>
    <w:rsid w:val="00582FE3"/>
    <w:rsid w:val="00583A24"/>
    <w:rsid w:val="005865E2"/>
    <w:rsid w:val="005926B9"/>
    <w:rsid w:val="0059291B"/>
    <w:rsid w:val="005970DC"/>
    <w:rsid w:val="005A2ADD"/>
    <w:rsid w:val="005B0A44"/>
    <w:rsid w:val="005B7864"/>
    <w:rsid w:val="005C4EC3"/>
    <w:rsid w:val="005C63F4"/>
    <w:rsid w:val="005C7554"/>
    <w:rsid w:val="005D09AA"/>
    <w:rsid w:val="005D491B"/>
    <w:rsid w:val="005D576B"/>
    <w:rsid w:val="005E496E"/>
    <w:rsid w:val="005F134E"/>
    <w:rsid w:val="005F2121"/>
    <w:rsid w:val="00601FBF"/>
    <w:rsid w:val="00606EC7"/>
    <w:rsid w:val="00613E6F"/>
    <w:rsid w:val="00623821"/>
    <w:rsid w:val="00626E02"/>
    <w:rsid w:val="00634424"/>
    <w:rsid w:val="006361EE"/>
    <w:rsid w:val="006401E3"/>
    <w:rsid w:val="0064051E"/>
    <w:rsid w:val="00647486"/>
    <w:rsid w:val="00647956"/>
    <w:rsid w:val="0065016B"/>
    <w:rsid w:val="00655EEE"/>
    <w:rsid w:val="0066026E"/>
    <w:rsid w:val="00663FE2"/>
    <w:rsid w:val="00665A6B"/>
    <w:rsid w:val="00665E83"/>
    <w:rsid w:val="00666857"/>
    <w:rsid w:val="00672221"/>
    <w:rsid w:val="00683203"/>
    <w:rsid w:val="006840C7"/>
    <w:rsid w:val="00684D3C"/>
    <w:rsid w:val="006856D5"/>
    <w:rsid w:val="00690C2C"/>
    <w:rsid w:val="00692BC0"/>
    <w:rsid w:val="006A0AC1"/>
    <w:rsid w:val="006A453F"/>
    <w:rsid w:val="006A479F"/>
    <w:rsid w:val="006B0516"/>
    <w:rsid w:val="006B09DC"/>
    <w:rsid w:val="006B6633"/>
    <w:rsid w:val="006B6C54"/>
    <w:rsid w:val="006B7549"/>
    <w:rsid w:val="006C1388"/>
    <w:rsid w:val="006C1B76"/>
    <w:rsid w:val="006C2776"/>
    <w:rsid w:val="006C6F49"/>
    <w:rsid w:val="006D2A8C"/>
    <w:rsid w:val="006D3CA9"/>
    <w:rsid w:val="006E172D"/>
    <w:rsid w:val="006E201A"/>
    <w:rsid w:val="006E5115"/>
    <w:rsid w:val="006E5EFE"/>
    <w:rsid w:val="006E652D"/>
    <w:rsid w:val="006E7105"/>
    <w:rsid w:val="006F2C7F"/>
    <w:rsid w:val="006F2F54"/>
    <w:rsid w:val="006F6BCD"/>
    <w:rsid w:val="006F6CE5"/>
    <w:rsid w:val="007105F0"/>
    <w:rsid w:val="00715C85"/>
    <w:rsid w:val="0072321C"/>
    <w:rsid w:val="0072458A"/>
    <w:rsid w:val="00731C56"/>
    <w:rsid w:val="0073281C"/>
    <w:rsid w:val="00734FFD"/>
    <w:rsid w:val="007370CD"/>
    <w:rsid w:val="007439CE"/>
    <w:rsid w:val="00744C7C"/>
    <w:rsid w:val="00746D7A"/>
    <w:rsid w:val="0075713A"/>
    <w:rsid w:val="00761900"/>
    <w:rsid w:val="00762C18"/>
    <w:rsid w:val="007632A7"/>
    <w:rsid w:val="00770CE2"/>
    <w:rsid w:val="00772D23"/>
    <w:rsid w:val="007775AE"/>
    <w:rsid w:val="00780B11"/>
    <w:rsid w:val="00781E25"/>
    <w:rsid w:val="0078320D"/>
    <w:rsid w:val="0079028A"/>
    <w:rsid w:val="007A1F86"/>
    <w:rsid w:val="007A5B43"/>
    <w:rsid w:val="007B4D50"/>
    <w:rsid w:val="007B6035"/>
    <w:rsid w:val="007B7640"/>
    <w:rsid w:val="007C0005"/>
    <w:rsid w:val="007C4B04"/>
    <w:rsid w:val="007D0518"/>
    <w:rsid w:val="007D23F2"/>
    <w:rsid w:val="007D3543"/>
    <w:rsid w:val="007D7AD3"/>
    <w:rsid w:val="007E0739"/>
    <w:rsid w:val="00801AF1"/>
    <w:rsid w:val="0080537A"/>
    <w:rsid w:val="00805D01"/>
    <w:rsid w:val="008115C4"/>
    <w:rsid w:val="00813753"/>
    <w:rsid w:val="0081404E"/>
    <w:rsid w:val="00816073"/>
    <w:rsid w:val="00823578"/>
    <w:rsid w:val="00825DBD"/>
    <w:rsid w:val="0083680E"/>
    <w:rsid w:val="00836CD4"/>
    <w:rsid w:val="0084342E"/>
    <w:rsid w:val="00843C71"/>
    <w:rsid w:val="0084451B"/>
    <w:rsid w:val="00845C0D"/>
    <w:rsid w:val="00854825"/>
    <w:rsid w:val="008646D0"/>
    <w:rsid w:val="00866767"/>
    <w:rsid w:val="00873DC4"/>
    <w:rsid w:val="00874AAF"/>
    <w:rsid w:val="00881808"/>
    <w:rsid w:val="00886B72"/>
    <w:rsid w:val="008907C9"/>
    <w:rsid w:val="00894643"/>
    <w:rsid w:val="00896E66"/>
    <w:rsid w:val="0089772C"/>
    <w:rsid w:val="008A19D9"/>
    <w:rsid w:val="008B39F4"/>
    <w:rsid w:val="008B3C71"/>
    <w:rsid w:val="008B6093"/>
    <w:rsid w:val="008C3E77"/>
    <w:rsid w:val="008D3096"/>
    <w:rsid w:val="008D39F7"/>
    <w:rsid w:val="008D4061"/>
    <w:rsid w:val="008E029F"/>
    <w:rsid w:val="008E5B1E"/>
    <w:rsid w:val="008F26E6"/>
    <w:rsid w:val="008F29BF"/>
    <w:rsid w:val="00900D81"/>
    <w:rsid w:val="00901D63"/>
    <w:rsid w:val="00910061"/>
    <w:rsid w:val="00912D28"/>
    <w:rsid w:val="0091676E"/>
    <w:rsid w:val="00917A22"/>
    <w:rsid w:val="00924919"/>
    <w:rsid w:val="00925A26"/>
    <w:rsid w:val="00925EF1"/>
    <w:rsid w:val="0092751C"/>
    <w:rsid w:val="009372A2"/>
    <w:rsid w:val="00940D77"/>
    <w:rsid w:val="0094108A"/>
    <w:rsid w:val="00941327"/>
    <w:rsid w:val="009436C7"/>
    <w:rsid w:val="00947CC3"/>
    <w:rsid w:val="0095126B"/>
    <w:rsid w:val="00957505"/>
    <w:rsid w:val="00961773"/>
    <w:rsid w:val="00963096"/>
    <w:rsid w:val="009668A6"/>
    <w:rsid w:val="00967AD9"/>
    <w:rsid w:val="00976061"/>
    <w:rsid w:val="00977436"/>
    <w:rsid w:val="009818A2"/>
    <w:rsid w:val="009907A3"/>
    <w:rsid w:val="00994F0B"/>
    <w:rsid w:val="00995CFC"/>
    <w:rsid w:val="009A548E"/>
    <w:rsid w:val="009B54B6"/>
    <w:rsid w:val="009B600C"/>
    <w:rsid w:val="009B7DE3"/>
    <w:rsid w:val="009D1DDA"/>
    <w:rsid w:val="009D34BF"/>
    <w:rsid w:val="009D48C3"/>
    <w:rsid w:val="009E0102"/>
    <w:rsid w:val="009E2BD7"/>
    <w:rsid w:val="009F0B37"/>
    <w:rsid w:val="009F3B0B"/>
    <w:rsid w:val="009F3B91"/>
    <w:rsid w:val="00A00951"/>
    <w:rsid w:val="00A076F7"/>
    <w:rsid w:val="00A17DCB"/>
    <w:rsid w:val="00A17FD3"/>
    <w:rsid w:val="00A236C6"/>
    <w:rsid w:val="00A2536F"/>
    <w:rsid w:val="00A257A2"/>
    <w:rsid w:val="00A31011"/>
    <w:rsid w:val="00A32F73"/>
    <w:rsid w:val="00A33EAC"/>
    <w:rsid w:val="00A3471F"/>
    <w:rsid w:val="00A377CD"/>
    <w:rsid w:val="00A409E7"/>
    <w:rsid w:val="00A460A0"/>
    <w:rsid w:val="00A46AB0"/>
    <w:rsid w:val="00A650F3"/>
    <w:rsid w:val="00A67ACE"/>
    <w:rsid w:val="00A70A1E"/>
    <w:rsid w:val="00A71C6D"/>
    <w:rsid w:val="00A729D2"/>
    <w:rsid w:val="00A75191"/>
    <w:rsid w:val="00A9139F"/>
    <w:rsid w:val="00A943EA"/>
    <w:rsid w:val="00A9555F"/>
    <w:rsid w:val="00A97FBD"/>
    <w:rsid w:val="00AA137C"/>
    <w:rsid w:val="00AA254E"/>
    <w:rsid w:val="00AB1610"/>
    <w:rsid w:val="00AB373A"/>
    <w:rsid w:val="00AB4044"/>
    <w:rsid w:val="00AC20A7"/>
    <w:rsid w:val="00AC58D0"/>
    <w:rsid w:val="00AD14CA"/>
    <w:rsid w:val="00AD3434"/>
    <w:rsid w:val="00AE3C4C"/>
    <w:rsid w:val="00AF06E1"/>
    <w:rsid w:val="00AF1970"/>
    <w:rsid w:val="00AF3552"/>
    <w:rsid w:val="00AF664F"/>
    <w:rsid w:val="00B00901"/>
    <w:rsid w:val="00B00F1D"/>
    <w:rsid w:val="00B013FF"/>
    <w:rsid w:val="00B03C65"/>
    <w:rsid w:val="00B15AD0"/>
    <w:rsid w:val="00B168D5"/>
    <w:rsid w:val="00B17CB6"/>
    <w:rsid w:val="00B21E37"/>
    <w:rsid w:val="00B24B0B"/>
    <w:rsid w:val="00B30890"/>
    <w:rsid w:val="00B330C9"/>
    <w:rsid w:val="00B35EAB"/>
    <w:rsid w:val="00B363A2"/>
    <w:rsid w:val="00B36D9D"/>
    <w:rsid w:val="00B44694"/>
    <w:rsid w:val="00B5414C"/>
    <w:rsid w:val="00B55AAE"/>
    <w:rsid w:val="00B613AC"/>
    <w:rsid w:val="00B62DD6"/>
    <w:rsid w:val="00B63FF2"/>
    <w:rsid w:val="00B672AE"/>
    <w:rsid w:val="00B7203C"/>
    <w:rsid w:val="00B73C5A"/>
    <w:rsid w:val="00B73CF8"/>
    <w:rsid w:val="00B74E37"/>
    <w:rsid w:val="00B84669"/>
    <w:rsid w:val="00B874B0"/>
    <w:rsid w:val="00B92FEC"/>
    <w:rsid w:val="00B93FE9"/>
    <w:rsid w:val="00B96065"/>
    <w:rsid w:val="00B96420"/>
    <w:rsid w:val="00BA08B8"/>
    <w:rsid w:val="00BA1272"/>
    <w:rsid w:val="00BA668B"/>
    <w:rsid w:val="00BB5D55"/>
    <w:rsid w:val="00BB7E60"/>
    <w:rsid w:val="00BC681F"/>
    <w:rsid w:val="00BC6901"/>
    <w:rsid w:val="00BC792A"/>
    <w:rsid w:val="00BD0408"/>
    <w:rsid w:val="00BD1D01"/>
    <w:rsid w:val="00BD3917"/>
    <w:rsid w:val="00BD44E1"/>
    <w:rsid w:val="00BD7B76"/>
    <w:rsid w:val="00BE1E95"/>
    <w:rsid w:val="00BE246A"/>
    <w:rsid w:val="00BF2477"/>
    <w:rsid w:val="00BF3551"/>
    <w:rsid w:val="00C02678"/>
    <w:rsid w:val="00C03083"/>
    <w:rsid w:val="00C03FCD"/>
    <w:rsid w:val="00C052A7"/>
    <w:rsid w:val="00C05E0B"/>
    <w:rsid w:val="00C15A23"/>
    <w:rsid w:val="00C23424"/>
    <w:rsid w:val="00C238B8"/>
    <w:rsid w:val="00C32317"/>
    <w:rsid w:val="00C33AD2"/>
    <w:rsid w:val="00C33ED1"/>
    <w:rsid w:val="00C34F07"/>
    <w:rsid w:val="00C3676B"/>
    <w:rsid w:val="00C36788"/>
    <w:rsid w:val="00C40BFC"/>
    <w:rsid w:val="00C548E9"/>
    <w:rsid w:val="00C57A00"/>
    <w:rsid w:val="00C619F3"/>
    <w:rsid w:val="00C66967"/>
    <w:rsid w:val="00C72AE6"/>
    <w:rsid w:val="00C733C6"/>
    <w:rsid w:val="00C83507"/>
    <w:rsid w:val="00C87EA0"/>
    <w:rsid w:val="00C961B9"/>
    <w:rsid w:val="00CB0204"/>
    <w:rsid w:val="00CB3283"/>
    <w:rsid w:val="00CB34E9"/>
    <w:rsid w:val="00CB64E1"/>
    <w:rsid w:val="00CC03BE"/>
    <w:rsid w:val="00CC4866"/>
    <w:rsid w:val="00CC5F3F"/>
    <w:rsid w:val="00CD1AC3"/>
    <w:rsid w:val="00CD4559"/>
    <w:rsid w:val="00CD7457"/>
    <w:rsid w:val="00CE1E9A"/>
    <w:rsid w:val="00CE7B05"/>
    <w:rsid w:val="00CF044D"/>
    <w:rsid w:val="00CF15DE"/>
    <w:rsid w:val="00CF1FBF"/>
    <w:rsid w:val="00CF4775"/>
    <w:rsid w:val="00D0366B"/>
    <w:rsid w:val="00D043FC"/>
    <w:rsid w:val="00D0769C"/>
    <w:rsid w:val="00D103CA"/>
    <w:rsid w:val="00D121AF"/>
    <w:rsid w:val="00D12616"/>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3049"/>
    <w:rsid w:val="00D868D7"/>
    <w:rsid w:val="00D86ED7"/>
    <w:rsid w:val="00D90B52"/>
    <w:rsid w:val="00D96494"/>
    <w:rsid w:val="00DA4072"/>
    <w:rsid w:val="00DB2D66"/>
    <w:rsid w:val="00DB398E"/>
    <w:rsid w:val="00DB5D44"/>
    <w:rsid w:val="00DB683E"/>
    <w:rsid w:val="00DB7C38"/>
    <w:rsid w:val="00DC355E"/>
    <w:rsid w:val="00DD4275"/>
    <w:rsid w:val="00DE6C2A"/>
    <w:rsid w:val="00DE76F3"/>
    <w:rsid w:val="00DF143F"/>
    <w:rsid w:val="00DF174C"/>
    <w:rsid w:val="00E006DC"/>
    <w:rsid w:val="00E118D9"/>
    <w:rsid w:val="00E1224D"/>
    <w:rsid w:val="00E125B0"/>
    <w:rsid w:val="00E23839"/>
    <w:rsid w:val="00E268F8"/>
    <w:rsid w:val="00E26904"/>
    <w:rsid w:val="00E3261B"/>
    <w:rsid w:val="00E353D9"/>
    <w:rsid w:val="00E40186"/>
    <w:rsid w:val="00E436E8"/>
    <w:rsid w:val="00E44D3A"/>
    <w:rsid w:val="00E4531C"/>
    <w:rsid w:val="00E51B11"/>
    <w:rsid w:val="00E5410F"/>
    <w:rsid w:val="00E55145"/>
    <w:rsid w:val="00E56C11"/>
    <w:rsid w:val="00E6151C"/>
    <w:rsid w:val="00E65072"/>
    <w:rsid w:val="00E7522A"/>
    <w:rsid w:val="00E83FF7"/>
    <w:rsid w:val="00E864DF"/>
    <w:rsid w:val="00E8660F"/>
    <w:rsid w:val="00E907DC"/>
    <w:rsid w:val="00E91234"/>
    <w:rsid w:val="00E912A5"/>
    <w:rsid w:val="00EA07CA"/>
    <w:rsid w:val="00EA13F8"/>
    <w:rsid w:val="00EA5A10"/>
    <w:rsid w:val="00EB4343"/>
    <w:rsid w:val="00EB5D9A"/>
    <w:rsid w:val="00ED3E5B"/>
    <w:rsid w:val="00ED7BAA"/>
    <w:rsid w:val="00EE2117"/>
    <w:rsid w:val="00EE49F3"/>
    <w:rsid w:val="00EF12F7"/>
    <w:rsid w:val="00EF1C87"/>
    <w:rsid w:val="00F052C1"/>
    <w:rsid w:val="00F1049E"/>
    <w:rsid w:val="00F15CED"/>
    <w:rsid w:val="00F16B07"/>
    <w:rsid w:val="00F27492"/>
    <w:rsid w:val="00F32810"/>
    <w:rsid w:val="00F335E5"/>
    <w:rsid w:val="00F355A9"/>
    <w:rsid w:val="00F355FD"/>
    <w:rsid w:val="00F43181"/>
    <w:rsid w:val="00F5033D"/>
    <w:rsid w:val="00F51E4F"/>
    <w:rsid w:val="00F56A07"/>
    <w:rsid w:val="00F60F58"/>
    <w:rsid w:val="00F61B5F"/>
    <w:rsid w:val="00F6541E"/>
    <w:rsid w:val="00F7313A"/>
    <w:rsid w:val="00F75ED4"/>
    <w:rsid w:val="00F81AD6"/>
    <w:rsid w:val="00F91149"/>
    <w:rsid w:val="00F93EAF"/>
    <w:rsid w:val="00F95CFD"/>
    <w:rsid w:val="00FA03B5"/>
    <w:rsid w:val="00FA2343"/>
    <w:rsid w:val="00FA3F38"/>
    <w:rsid w:val="00FB16A6"/>
    <w:rsid w:val="00FB3631"/>
    <w:rsid w:val="00FB3EB9"/>
    <w:rsid w:val="00FB5D38"/>
    <w:rsid w:val="00FB61A9"/>
    <w:rsid w:val="00FC11DD"/>
    <w:rsid w:val="00FC2170"/>
    <w:rsid w:val="00FC6491"/>
    <w:rsid w:val="00FD0074"/>
    <w:rsid w:val="00FD324B"/>
    <w:rsid w:val="00FD5361"/>
    <w:rsid w:val="00FD6B92"/>
    <w:rsid w:val="00FD6CFC"/>
    <w:rsid w:val="00FE01DA"/>
    <w:rsid w:val="00FE088A"/>
    <w:rsid w:val="00FE43FE"/>
    <w:rsid w:val="00FE4DE5"/>
    <w:rsid w:val="00FF3B94"/>
    <w:rsid w:val="00FF4FCC"/>
    <w:rsid w:val="1EA2C8D8"/>
    <w:rsid w:val="24EB6DF8"/>
    <w:rsid w:val="34598454"/>
    <w:rsid w:val="35FFEBB2"/>
    <w:rsid w:val="4DF1303D"/>
    <w:rsid w:val="5220AF7C"/>
    <w:rsid w:val="6C64D7C7"/>
    <w:rsid w:val="729E1822"/>
  </w:rsids>
  <w:docVars>
    <w:docVar w:name="AP Job Title" w:val="Not Assigned"/>
    <w:docVar w:name="AP_Job_Title" w:val="Not Assigned"/>
    <w:docVar w:name="Date Approved" w:val="01/23/2024"/>
    <w:docVar w:name="Date_Approved" w:val="01/23/2024"/>
    <w:docVar w:name="Document Title" w:val="Site Initiation Visits (Sponsor) -0502- Procedure"/>
    <w:docVar w:name="Document_Title" w:val="Site Initiation Visits (Sponsor) -0502- Procedure"/>
    <w:docVar w:name="Last Periodic Review Date" w:val="01/23/2024"/>
    <w:docVar w:name="Last_Periodic_Review_Date" w:val="01/23/2024"/>
    <w:docVar w:name="Original Creation Date" w:val="01/23/2024"/>
    <w:docVar w:name="Original_Creation_Date" w:val="01/23/2024"/>
    <w:docVar w:name="PO Both" w:val="Audrey King"/>
    <w:docVar w:name="PO_Both" w:val="Audrey King"/>
    <w:docVar w:name="WR Both" w:val="Julie Holub, Theresa Goddard"/>
    <w:docVar w:name="WR Department" w:val="MEDCCI Yale Center for Clinical Investigation (YCCI)"/>
    <w:docVar w:name="WR_Both" w:val="Julie Holub, Theresa Goddard"/>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character" w:customStyle="1" w:styleId="Hyperlink0">
    <w:name w:val="Hyperlink.0"/>
    <w:basedOn w:val="DefaultParagraphFont"/>
    <w:rsid w:val="00977436"/>
    <w:rPr>
      <w:lang w:val="en-US"/>
    </w:rPr>
  </w:style>
  <w:style w:type="paragraph" w:customStyle="1" w:styleId="DocTitle">
    <w:name w:val="Doc Title"/>
    <w:basedOn w:val="Normal"/>
    <w:link w:val="DocTitleChar"/>
    <w:qFormat/>
    <w:rsid w:val="00FB16A6"/>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FB16A6"/>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FB16A6"/>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FB16A6"/>
    <w:rPr>
      <w:rFonts w:ascii="Arial" w:hAnsi="Arial"/>
      <w:b/>
      <w:sz w:val="24"/>
    </w:rPr>
  </w:style>
  <w:style w:type="character" w:customStyle="1" w:styleId="ListParagraphChar">
    <w:name w:val="List Paragraph Char"/>
    <w:basedOn w:val="DefaultParagraphFont"/>
    <w:link w:val="ListParagraph"/>
    <w:uiPriority w:val="34"/>
    <w:rsid w:val="00AE3C4C"/>
    <w:rPr>
      <w:rFonts w:ascii="Arial" w:hAnsi="Arial"/>
    </w:rPr>
  </w:style>
  <w:style w:type="paragraph" w:styleId="Revision">
    <w:name w:val="Revision"/>
    <w:hidden/>
    <w:uiPriority w:val="99"/>
    <w:semiHidden/>
    <w:rsid w:val="00E752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yperlink" Target="http://www.accessdata.fda.gov/scripts/cdrh/cfdocs/cfcfr/CFRSearch.cfm?CFRPart=312&amp;showFR=1&amp;subpartNode=21:5.0.1.1.3.4" TargetMode="External" /><Relationship Id="rId27" Type="http://schemas.openxmlformats.org/officeDocument/2006/relationships/hyperlink" Target="mailto:ycci.sop@yale.edu" TargetMode="External" /><Relationship Id="rId28" Type="http://schemas.openxmlformats.org/officeDocument/2006/relationships/hyperlink" Target="https://www.hhs.gov/ohrp/regulations-and-policy/regulations/45-cfr-46/index.html" TargetMode="External" /><Relationship Id="rId29" Type="http://schemas.openxmlformats.org/officeDocument/2006/relationships/hyperlink" Target="https://www.accessdata.fda.gov/scripts/cdrh/cfdocs/cfCFR/CFRSearch.cfm?CFRPart=50&amp;showFR=1" TargetMode="External" /><Relationship Id="rId3" Type="http://schemas.openxmlformats.org/officeDocument/2006/relationships/fontTable" Target="fontTable.xml" /><Relationship Id="rId30" Type="http://schemas.openxmlformats.org/officeDocument/2006/relationships/hyperlink" Target="https://www.accessdata.fda.gov/scripts/cdrh/cfdocs/cfCFR/CFRSearch.cfm?CFRPart=312" TargetMode="External" /><Relationship Id="rId31" Type="http://schemas.openxmlformats.org/officeDocument/2006/relationships/hyperlink" Target="https://www.accessdata.fda.gov/scripts/cdrh/cfdocs/cfcfr/CFRSearch.cfm?fr=812.2" TargetMode="External" /><Relationship Id="rId32" Type="http://schemas.openxmlformats.org/officeDocument/2006/relationships/hyperlink" Target="http://www.ich.org/" TargetMode="External" /><Relationship Id="rId33" Type="http://schemas.openxmlformats.org/officeDocument/2006/relationships/hyperlink" Target="http://www.accessdata.fda.gov/scripts/cdrh/cfdocs/cfcfr/CFRSearch.cfm?CFRPart=312" TargetMode="External" /><Relationship Id="rId34" Type="http://schemas.openxmlformats.org/officeDocument/2006/relationships/hyperlink" Target="https://medicine.yale.edu/ycci/researchservices/qa/monitoring/" TargetMode="External" /><Relationship Id="rId35" Type="http://schemas.openxmlformats.org/officeDocument/2006/relationships/header" Target="header10.xml" /><Relationship Id="rId36" Type="http://schemas.openxmlformats.org/officeDocument/2006/relationships/header" Target="header11.xml" /><Relationship Id="rId37" Type="http://schemas.openxmlformats.org/officeDocument/2006/relationships/footer" Target="footer10.xml" /><Relationship Id="rId38" Type="http://schemas.openxmlformats.org/officeDocument/2006/relationships/footer" Target="footer11.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12.xml" /><Relationship Id="rId41" Type="http://schemas.microsoft.com/office/2006/relationships/keyMapCustomizations" Target="customizations.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3.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03F69-A6E5-4B83-9547-4450216E3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1221</Words>
  <Characters>8271</Characters>
  <Application>Microsoft Office Word</Application>
  <DocSecurity>0</DocSecurity>
  <Lines>183</Lines>
  <Paragraphs>89</Paragraphs>
  <ScaleCrop>false</ScaleCrop>
  <Company>Yale University</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Procedure Template</dc:title>
  <dc:creator>Jarosz, Michael</dc:creator>
  <cp:lastModifiedBy>King, Audrey</cp:lastModifiedBy>
  <cp:revision>17</cp:revision>
  <cp:lastPrinted>2015-08-17T19:38:00Z</cp:lastPrinted>
  <dcterms:created xsi:type="dcterms:W3CDTF">2024-01-04T22:37:00Z</dcterms:created>
  <dcterms:modified xsi:type="dcterms:W3CDTF">2026-02-16T20:10:00Z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ebe2d934897da77ddbccec1c8ceca46d79b95233582fea37968754382288ba93</vt:lpwstr>
  </property>
</Properties>
</file>