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A07CA" w:rsidRPr="00CD2820" w:rsidP="00A2506C" w14:paraId="3F4B4F8D" w14:textId="77777777">
      <w:pPr>
        <w:pStyle w:val="SectionHeading"/>
        <w:numPr>
          <w:ilvl w:val="0"/>
          <w:numId w:val="8"/>
        </w:numPr>
        <w:ind w:left="720" w:hanging="720"/>
        <w:rPr>
          <w:color w:val="365F91" w:themeColor="accent1" w:themeShade="BF"/>
          <w:sz w:val="28"/>
          <w:szCs w:val="28"/>
        </w:rPr>
      </w:pPr>
      <w:r w:rsidRPr="00CD2820">
        <w:rPr>
          <w:color w:val="365F91" w:themeColor="accent1" w:themeShade="BF"/>
          <w:sz w:val="28"/>
          <w:szCs w:val="28"/>
        </w:rPr>
        <w:t>Scop</w:t>
      </w:r>
      <w:r w:rsidRPr="00CD2820" w:rsidR="00A23547">
        <w:rPr>
          <w:color w:val="365F91" w:themeColor="accent1" w:themeShade="BF"/>
          <w:sz w:val="28"/>
          <w:szCs w:val="28"/>
        </w:rPr>
        <w:t>e</w:t>
      </w:r>
    </w:p>
    <w:p w:rsidR="00E1540E" w:rsidP="006029CE" w14:paraId="3BF74EE9" w14:textId="13BECE12">
      <w:pPr>
        <w:spacing w:after="0" w:line="276" w:lineRule="auto"/>
        <w:ind w:left="720"/>
      </w:pPr>
      <w:r w:rsidRPr="002A5110">
        <w:t xml:space="preserve">This </w:t>
      </w:r>
      <w:r w:rsidRPr="002A5110" w:rsidR="00414CC0">
        <w:t>standard operating procedure</w:t>
      </w:r>
      <w:r w:rsidRPr="002A5110">
        <w:t xml:space="preserve"> </w:t>
      </w:r>
      <w:r w:rsidRPr="002A5110" w:rsidR="00414CC0">
        <w:t xml:space="preserve">(SOP) </w:t>
      </w:r>
      <w:r w:rsidRPr="002A5110">
        <w:t xml:space="preserve">applies to Yale Investigator Initiated Trials (IIT) in which a Yale investigator holds the </w:t>
      </w:r>
      <w:r w:rsidRPr="002A5110" w:rsidR="00E279BC">
        <w:t>Investigational New Drug (</w:t>
      </w:r>
      <w:r w:rsidRPr="002A5110">
        <w:t>IND</w:t>
      </w:r>
      <w:r w:rsidRPr="002A5110" w:rsidR="00E279BC">
        <w:t>)</w:t>
      </w:r>
      <w:r w:rsidRPr="002A5110">
        <w:t xml:space="preserve"> or </w:t>
      </w:r>
      <w:r w:rsidRPr="002A5110" w:rsidR="009A3433">
        <w:t>Investigational Device Exemption (</w:t>
      </w:r>
      <w:r w:rsidRPr="002A5110">
        <w:t>IDE</w:t>
      </w:r>
      <w:r w:rsidRPr="002A5110" w:rsidR="009A3433">
        <w:t>)</w:t>
      </w:r>
      <w:r w:rsidRPr="002A5110">
        <w:t xml:space="preserve">.  </w:t>
      </w:r>
      <w:r w:rsidRPr="002A5110" w:rsidR="002A5110">
        <w:t>Generally, a</w:t>
      </w:r>
      <w:r w:rsidRPr="002A5110">
        <w:t xml:space="preserve">ll IIT </w:t>
      </w:r>
      <w:r w:rsidRPr="002A5110">
        <w:t>investigations under an IND/IDE of moderate or high</w:t>
      </w:r>
      <w:r w:rsidR="00CF727E">
        <w:t>-</w:t>
      </w:r>
      <w:r w:rsidRPr="002A5110">
        <w:t xml:space="preserve">risk must be monitored by the </w:t>
      </w:r>
      <w:r w:rsidRPr="002A5110" w:rsidR="00097908">
        <w:rPr>
          <w:rFonts w:cs="Arial"/>
        </w:rPr>
        <w:t>Yale Center for Clinical Investigation (YCCI) Monitoring (YCCI-M)</w:t>
      </w:r>
      <w:r w:rsidRPr="002A5110">
        <w:t>.</w:t>
      </w:r>
      <w:r>
        <w:t xml:space="preserve"> </w:t>
      </w:r>
    </w:p>
    <w:p w:rsidR="00010D4A" w:rsidP="00010D4A" w14:paraId="7947F225" w14:textId="77777777">
      <w:pPr>
        <w:pStyle w:val="SectionHeading"/>
      </w:pPr>
    </w:p>
    <w:p w:rsidR="00010D4A" w:rsidRPr="00EA07CA" w:rsidP="00010D4A" w14:paraId="294B2ADB" w14:textId="134413CD">
      <w:pPr>
        <w:pStyle w:val="SectionHeading"/>
        <w:sectPr w:rsidSect="00641FF8">
          <w:footerReference w:type="default" r:id="rId10"/>
          <w:headerReference w:type="first" r:id="rId11"/>
          <w:footerReference w:type="first" r:id="rId12"/>
          <w:type w:val="continuous"/>
          <w:pgSz w:w="12240" w:h="15840" w:orient="portrait" w:code="1"/>
          <w:pgMar w:top="1440" w:right="1440" w:bottom="1440" w:left="1440" w:header="720" w:footer="720" w:gutter="0"/>
          <w:cols w:space="720"/>
          <w:titlePg/>
        </w:sectPr>
      </w:pPr>
    </w:p>
    <w:p w:rsidR="00010D4A" w:rsidRPr="00CD2820" w:rsidP="00A2506C" w14:paraId="30D7DA1C" w14:textId="0F857981">
      <w:pPr>
        <w:pStyle w:val="SectionHeading"/>
        <w:numPr>
          <w:ilvl w:val="0"/>
          <w:numId w:val="8"/>
        </w:numPr>
        <w:ind w:left="720" w:hanging="720"/>
        <w:rPr>
          <w:color w:val="365F91" w:themeColor="accent1" w:themeShade="BF"/>
          <w:sz w:val="28"/>
          <w:szCs w:val="28"/>
        </w:rPr>
      </w:pPr>
      <w:r w:rsidRPr="00CD2820">
        <w:rPr>
          <w:color w:val="365F91" w:themeColor="accent1" w:themeShade="BF"/>
          <w:sz w:val="28"/>
          <w:szCs w:val="28"/>
        </w:rPr>
        <w:t>Purpose</w:t>
      </w:r>
      <w:r w:rsidRPr="00CD2820" w:rsidR="0019604E">
        <w:rPr>
          <w:color w:val="365F91" w:themeColor="accent1" w:themeShade="BF"/>
          <w:sz w:val="28"/>
          <w:szCs w:val="28"/>
        </w:rPr>
        <w:t xml:space="preserve"> </w:t>
      </w:r>
    </w:p>
    <w:p w:rsidR="002C786A" w:rsidRPr="00FF36C1" w:rsidP="006029CE" w14:paraId="58CDC1DC" w14:textId="77777777">
      <w:pPr>
        <w:spacing w:after="0" w:line="276" w:lineRule="auto"/>
        <w:ind w:left="720"/>
        <w:rPr>
          <w:rFonts w:cs="Arial"/>
        </w:rPr>
      </w:pPr>
      <w:r w:rsidRPr="00FF36C1">
        <w:rPr>
          <w:rFonts w:cs="Arial"/>
        </w:rPr>
        <w:t>YCCI Clinical Trial Monitors (Monitors) support Yale Sponsors, Sponsor-Investigators, and Principal Investigators conducting clinical trials across the YSM. The purpose of monitoring is to verify that the rights and well-being of human subjects are protected, study data is accurate, complete, and verifiable and the study is conducted in compliance with the protocol, local and federal regulations and institutional policies.</w:t>
      </w:r>
    </w:p>
    <w:p w:rsidR="002C786A" w:rsidRPr="00FF36C1" w:rsidP="006029CE" w14:paraId="6892EA1D" w14:textId="77777777">
      <w:pPr>
        <w:spacing w:after="0" w:line="276" w:lineRule="auto"/>
        <w:ind w:left="720"/>
        <w:rPr>
          <w:rFonts w:cs="Arial"/>
        </w:rPr>
      </w:pPr>
    </w:p>
    <w:p w:rsidR="002C786A" w:rsidRPr="00FF36C1" w:rsidP="006029CE" w14:paraId="762768B1" w14:textId="19961C89">
      <w:pPr>
        <w:spacing w:after="0" w:line="276" w:lineRule="auto"/>
        <w:ind w:left="720"/>
        <w:rPr>
          <w:rFonts w:cs="Arial"/>
        </w:rPr>
      </w:pPr>
      <w:r w:rsidRPr="00FF36C1">
        <w:rPr>
          <w:rFonts w:cs="Arial"/>
        </w:rPr>
        <w:t xml:space="preserve">Should a Yale Sponsor-Investigator (S-I) request the services of the YCCI to monitor their clinical trial being conducted under an IND or IDE, </w:t>
      </w:r>
      <w:r w:rsidR="00414CC0">
        <w:rPr>
          <w:rFonts w:cs="Arial"/>
        </w:rPr>
        <w:t xml:space="preserve">the </w:t>
      </w:r>
      <w:r w:rsidRPr="0005435C">
        <w:rPr>
          <w:rFonts w:cs="Arial"/>
        </w:rPr>
        <w:t>monitoring plan</w:t>
      </w:r>
      <w:r w:rsidR="00414CC0">
        <w:rPr>
          <w:rFonts w:cs="Arial"/>
        </w:rPr>
        <w:t xml:space="preserve"> implemented will </w:t>
      </w:r>
      <w:r w:rsidR="0093102A">
        <w:rPr>
          <w:rFonts w:cs="Arial"/>
        </w:rPr>
        <w:t xml:space="preserve">be </w:t>
      </w:r>
      <w:r w:rsidRPr="0005435C">
        <w:rPr>
          <w:rFonts w:cs="Arial"/>
        </w:rPr>
        <w:t>commensurate with the risk-level calculated for the study.</w:t>
      </w:r>
      <w:r w:rsidR="00414CC0">
        <w:rPr>
          <w:rFonts w:cs="Arial"/>
        </w:rPr>
        <w:t xml:space="preserve">  S</w:t>
      </w:r>
      <w:r w:rsidRPr="0005435C">
        <w:rPr>
          <w:rFonts w:cs="Arial"/>
        </w:rPr>
        <w:t>tudies identified as “low risk” will be offered an</w:t>
      </w:r>
      <w:r w:rsidRPr="00FF36C1">
        <w:rPr>
          <w:rFonts w:cs="Arial"/>
        </w:rPr>
        <w:t xml:space="preserve"> alternative approach for study monitoring outlined in </w:t>
      </w:r>
      <w:r w:rsidRPr="00441E58" w:rsidR="00787B9F">
        <w:rPr>
          <w:rFonts w:cs="Arial"/>
        </w:rPr>
        <w:t>Alternative Plan for Monitoring</w:t>
      </w:r>
      <w:r w:rsidR="00441E58">
        <w:rPr>
          <w:rFonts w:cs="Arial"/>
        </w:rPr>
        <w:t xml:space="preserve"> -0509- Procedure</w:t>
      </w:r>
      <w:r w:rsidR="00787B9F">
        <w:rPr>
          <w:rFonts w:cs="Arial"/>
        </w:rPr>
        <w:t xml:space="preserve">. </w:t>
      </w:r>
      <w:r w:rsidRPr="00FF36C1">
        <w:rPr>
          <w:rFonts w:cs="Arial"/>
        </w:rPr>
        <w:t xml:space="preserve">The risk assessment criteria used for the purpose of determining study monitoring are distinct from the </w:t>
      </w:r>
      <w:r w:rsidRPr="00FF36C1" w:rsidR="008C504F">
        <w:rPr>
          <w:rFonts w:cs="Arial"/>
        </w:rPr>
        <w:t>I</w:t>
      </w:r>
      <w:r w:rsidR="008C504F">
        <w:rPr>
          <w:rFonts w:cs="Arial"/>
        </w:rPr>
        <w:t>nstitutional Review Board (I</w:t>
      </w:r>
      <w:r w:rsidRPr="00FF36C1">
        <w:rPr>
          <w:rFonts w:cs="Arial"/>
        </w:rPr>
        <w:t>RB</w:t>
      </w:r>
      <w:r w:rsidR="008C504F">
        <w:rPr>
          <w:rFonts w:cs="Arial"/>
        </w:rPr>
        <w:t>)</w:t>
      </w:r>
      <w:r w:rsidRPr="00FF36C1">
        <w:rPr>
          <w:rFonts w:cs="Arial"/>
        </w:rPr>
        <w:t xml:space="preserve"> determination of risk to human research participants and therefore should not be considered equivalent. </w:t>
      </w:r>
    </w:p>
    <w:p w:rsidR="00754DF2" w:rsidRPr="00CD2820" w:rsidP="00A2506C" w14:paraId="7B442FD9" w14:textId="5A14ACC1">
      <w:pPr>
        <w:pStyle w:val="SectionHeading"/>
        <w:numPr>
          <w:ilvl w:val="0"/>
          <w:numId w:val="8"/>
        </w:numPr>
        <w:spacing w:before="240" w:after="240"/>
        <w:ind w:left="720" w:hanging="720"/>
        <w:contextualSpacing w:val="0"/>
        <w:rPr>
          <w:color w:val="365F91" w:themeColor="accent1" w:themeShade="BF"/>
          <w:sz w:val="28"/>
          <w:szCs w:val="28"/>
        </w:rPr>
      </w:pPr>
      <w:r w:rsidRPr="00CD2820">
        <w:rPr>
          <w:color w:val="365F91" w:themeColor="accent1" w:themeShade="BF"/>
          <w:sz w:val="28"/>
          <w:szCs w:val="28"/>
        </w:rPr>
        <w:t>Definitions</w:t>
      </w:r>
      <w:r w:rsidRPr="00CD2820" w:rsidR="00575B4E">
        <w:rPr>
          <w:color w:val="365F91" w:themeColor="accent1" w:themeShade="BF"/>
          <w:sz w:val="28"/>
          <w:szCs w:val="28"/>
        </w:rPr>
        <w:t xml:space="preserve"> and Abbreviations</w:t>
      </w:r>
    </w:p>
    <w:p w:rsidR="001E005B" w:rsidRPr="00202C4E" w:rsidP="00202C4E" w14:paraId="706A25CD" w14:textId="3A92B6A9">
      <w:pPr>
        <w:spacing w:before="120" w:after="120" w:line="276" w:lineRule="auto"/>
        <w:ind w:left="720"/>
        <w:contextualSpacing w:val="0"/>
        <w:rPr>
          <w:rFonts w:cs="Arial"/>
          <w:spacing w:val="-1"/>
        </w:rPr>
      </w:pPr>
      <w:r w:rsidRPr="001E005B">
        <w:rPr>
          <w:rFonts w:cs="Arial"/>
          <w:b/>
          <w:bCs/>
          <w:spacing w:val="-1"/>
        </w:rPr>
        <w:t>ALCOA-C</w:t>
      </w:r>
      <w:r w:rsidRPr="001E005B">
        <w:rPr>
          <w:rFonts w:cs="Arial"/>
          <w:spacing w:val="-1"/>
        </w:rPr>
        <w:t xml:space="preserve"> - Source</w:t>
      </w:r>
      <w:r w:rsidRPr="001E005B">
        <w:rPr>
          <w:rFonts w:cs="Arial"/>
          <w:spacing w:val="-6"/>
        </w:rPr>
        <w:t xml:space="preserve"> </w:t>
      </w:r>
      <w:r w:rsidRPr="001E005B">
        <w:rPr>
          <w:rFonts w:cs="Arial"/>
          <w:spacing w:val="-1"/>
        </w:rPr>
        <w:t>data</w:t>
      </w:r>
      <w:r w:rsidRPr="001E005B">
        <w:rPr>
          <w:rFonts w:cs="Arial"/>
          <w:spacing w:val="-5"/>
        </w:rPr>
        <w:t xml:space="preserve"> </w:t>
      </w:r>
      <w:r w:rsidRPr="001E005B">
        <w:rPr>
          <w:rFonts w:cs="Arial"/>
          <w:spacing w:val="-1"/>
        </w:rPr>
        <w:t>should</w:t>
      </w:r>
      <w:r w:rsidRPr="001E005B">
        <w:rPr>
          <w:rFonts w:cs="Arial"/>
          <w:spacing w:val="-5"/>
        </w:rPr>
        <w:t xml:space="preserve"> </w:t>
      </w:r>
      <w:r w:rsidRPr="001E005B">
        <w:rPr>
          <w:rFonts w:cs="Arial"/>
          <w:spacing w:val="-1"/>
        </w:rPr>
        <w:t>be</w:t>
      </w:r>
      <w:r w:rsidRPr="001E005B">
        <w:rPr>
          <w:rFonts w:cs="Arial"/>
          <w:spacing w:val="-6"/>
        </w:rPr>
        <w:t xml:space="preserve"> </w:t>
      </w:r>
      <w:r w:rsidRPr="001E005B">
        <w:rPr>
          <w:rFonts w:cs="Arial"/>
          <w:spacing w:val="-1"/>
        </w:rPr>
        <w:t>attributable</w:t>
      </w:r>
      <w:r w:rsidRPr="001E005B">
        <w:rPr>
          <w:rFonts w:cs="Arial"/>
          <w:spacing w:val="-6"/>
        </w:rPr>
        <w:t xml:space="preserve"> </w:t>
      </w:r>
      <w:r w:rsidRPr="001E005B">
        <w:rPr>
          <w:rFonts w:cs="Arial"/>
          <w:spacing w:val="-1"/>
        </w:rPr>
        <w:t>(clear</w:t>
      </w:r>
      <w:r w:rsidRPr="001E005B">
        <w:rPr>
          <w:rFonts w:cs="Arial"/>
          <w:spacing w:val="-7"/>
        </w:rPr>
        <w:t xml:space="preserve"> </w:t>
      </w:r>
      <w:r w:rsidRPr="001E005B">
        <w:rPr>
          <w:rFonts w:cs="Arial"/>
          <w:spacing w:val="-1"/>
        </w:rPr>
        <w:t>who</w:t>
      </w:r>
      <w:r w:rsidRPr="001E005B">
        <w:rPr>
          <w:rFonts w:cs="Arial"/>
          <w:spacing w:val="-6"/>
        </w:rPr>
        <w:t xml:space="preserve"> </w:t>
      </w:r>
      <w:r w:rsidRPr="001E005B">
        <w:rPr>
          <w:rFonts w:cs="Arial"/>
          <w:spacing w:val="-1"/>
        </w:rPr>
        <w:t>made</w:t>
      </w:r>
      <w:r w:rsidRPr="001E005B">
        <w:rPr>
          <w:rFonts w:cs="Arial"/>
          <w:spacing w:val="-4"/>
        </w:rPr>
        <w:t xml:space="preserve"> </w:t>
      </w:r>
      <w:r w:rsidRPr="001E005B">
        <w:rPr>
          <w:rFonts w:cs="Arial"/>
          <w:spacing w:val="-1"/>
        </w:rPr>
        <w:t>the</w:t>
      </w:r>
      <w:r w:rsidRPr="001E005B">
        <w:rPr>
          <w:rFonts w:cs="Arial"/>
          <w:spacing w:val="-6"/>
        </w:rPr>
        <w:t xml:space="preserve"> </w:t>
      </w:r>
      <w:r w:rsidRPr="001E005B">
        <w:rPr>
          <w:rFonts w:cs="Arial"/>
          <w:spacing w:val="-1"/>
        </w:rPr>
        <w:t>entry),</w:t>
      </w:r>
      <w:r w:rsidRPr="001E005B">
        <w:rPr>
          <w:rFonts w:cs="Arial"/>
          <w:spacing w:val="-4"/>
        </w:rPr>
        <w:t xml:space="preserve"> </w:t>
      </w:r>
      <w:r w:rsidRPr="001E005B">
        <w:rPr>
          <w:rFonts w:cs="Arial"/>
          <w:spacing w:val="-1"/>
        </w:rPr>
        <w:t>legible</w:t>
      </w:r>
      <w:r w:rsidRPr="001E005B">
        <w:rPr>
          <w:rFonts w:cs="Arial"/>
          <w:spacing w:val="-4"/>
        </w:rPr>
        <w:t xml:space="preserve"> </w:t>
      </w:r>
      <w:r w:rsidRPr="001E005B">
        <w:rPr>
          <w:rFonts w:cs="Arial"/>
          <w:spacing w:val="-1"/>
        </w:rPr>
        <w:t>(easily</w:t>
      </w:r>
      <w:r w:rsidRPr="001E005B">
        <w:rPr>
          <w:rFonts w:cs="Arial"/>
          <w:spacing w:val="-6"/>
        </w:rPr>
        <w:t xml:space="preserve"> </w:t>
      </w:r>
      <w:r w:rsidRPr="001E005B">
        <w:rPr>
          <w:rFonts w:cs="Arial"/>
          <w:spacing w:val="-1"/>
        </w:rPr>
        <w:t>read</w:t>
      </w:r>
      <w:r w:rsidRPr="001E005B">
        <w:rPr>
          <w:rFonts w:cs="Arial"/>
          <w:spacing w:val="56"/>
        </w:rPr>
        <w:t xml:space="preserve"> </w:t>
      </w:r>
      <w:r w:rsidRPr="001E005B">
        <w:rPr>
          <w:rFonts w:cs="Arial"/>
          <w:spacing w:val="-1"/>
        </w:rPr>
        <w:t>and</w:t>
      </w:r>
      <w:r w:rsidRPr="001E005B">
        <w:rPr>
          <w:rFonts w:cs="Arial"/>
          <w:spacing w:val="21"/>
        </w:rPr>
        <w:t xml:space="preserve"> </w:t>
      </w:r>
      <w:r w:rsidRPr="001E005B">
        <w:rPr>
          <w:rFonts w:cs="Arial"/>
          <w:spacing w:val="-1"/>
        </w:rPr>
        <w:t>understood),</w:t>
      </w:r>
      <w:r w:rsidRPr="001E005B">
        <w:rPr>
          <w:rFonts w:cs="Arial"/>
          <w:spacing w:val="19"/>
        </w:rPr>
        <w:t xml:space="preserve"> </w:t>
      </w:r>
      <w:r w:rsidRPr="001E005B">
        <w:rPr>
          <w:rFonts w:cs="Arial"/>
          <w:spacing w:val="-1"/>
        </w:rPr>
        <w:t>contemporaneous</w:t>
      </w:r>
      <w:r w:rsidRPr="001E005B">
        <w:rPr>
          <w:rFonts w:cs="Arial"/>
          <w:spacing w:val="22"/>
        </w:rPr>
        <w:t xml:space="preserve"> </w:t>
      </w:r>
      <w:r w:rsidRPr="001E005B">
        <w:rPr>
          <w:rFonts w:cs="Arial"/>
          <w:spacing w:val="-1"/>
        </w:rPr>
        <w:t>(recorded,</w:t>
      </w:r>
      <w:r w:rsidRPr="001E005B">
        <w:rPr>
          <w:rFonts w:cs="Arial"/>
          <w:spacing w:val="20"/>
        </w:rPr>
        <w:t xml:space="preserve"> </w:t>
      </w:r>
      <w:r w:rsidRPr="001E005B">
        <w:rPr>
          <w:rFonts w:cs="Arial"/>
          <w:spacing w:val="-1"/>
        </w:rPr>
        <w:t>signed,</w:t>
      </w:r>
      <w:r w:rsidRPr="001E005B">
        <w:rPr>
          <w:rFonts w:cs="Arial"/>
          <w:spacing w:val="21"/>
        </w:rPr>
        <w:t xml:space="preserve"> </w:t>
      </w:r>
      <w:r w:rsidRPr="001E005B">
        <w:rPr>
          <w:rFonts w:cs="Arial"/>
          <w:spacing w:val="-1"/>
        </w:rPr>
        <w:t>and</w:t>
      </w:r>
      <w:r w:rsidRPr="001E005B">
        <w:rPr>
          <w:rFonts w:cs="Arial"/>
          <w:spacing w:val="21"/>
        </w:rPr>
        <w:t xml:space="preserve"> </w:t>
      </w:r>
      <w:r w:rsidRPr="001E005B">
        <w:rPr>
          <w:rFonts w:cs="Arial"/>
          <w:spacing w:val="-1"/>
        </w:rPr>
        <w:t>dated</w:t>
      </w:r>
      <w:r w:rsidRPr="001E005B">
        <w:rPr>
          <w:rFonts w:cs="Arial"/>
          <w:spacing w:val="19"/>
        </w:rPr>
        <w:t xml:space="preserve"> </w:t>
      </w:r>
      <w:r w:rsidRPr="001E005B">
        <w:rPr>
          <w:rFonts w:cs="Arial"/>
          <w:spacing w:val="-1"/>
        </w:rPr>
        <w:t>at</w:t>
      </w:r>
      <w:r w:rsidRPr="001E005B">
        <w:rPr>
          <w:rFonts w:cs="Arial"/>
          <w:spacing w:val="20"/>
        </w:rPr>
        <w:t xml:space="preserve"> </w:t>
      </w:r>
      <w:r w:rsidRPr="001E005B">
        <w:rPr>
          <w:rFonts w:cs="Arial"/>
          <w:spacing w:val="-1"/>
        </w:rPr>
        <w:t>the</w:t>
      </w:r>
      <w:r w:rsidRPr="001E005B">
        <w:rPr>
          <w:rFonts w:cs="Arial"/>
          <w:spacing w:val="20"/>
        </w:rPr>
        <w:t xml:space="preserve"> </w:t>
      </w:r>
      <w:r w:rsidRPr="001E005B">
        <w:rPr>
          <w:rFonts w:cs="Arial"/>
          <w:spacing w:val="-1"/>
        </w:rPr>
        <w:t>time</w:t>
      </w:r>
      <w:r w:rsidRPr="001E005B">
        <w:rPr>
          <w:rFonts w:cs="Arial"/>
          <w:spacing w:val="20"/>
        </w:rPr>
        <w:t xml:space="preserve"> </w:t>
      </w:r>
      <w:r w:rsidRPr="001E005B">
        <w:rPr>
          <w:rFonts w:cs="Arial"/>
          <w:spacing w:val="-1"/>
        </w:rPr>
        <w:t>of</w:t>
      </w:r>
      <w:r w:rsidRPr="001E005B">
        <w:rPr>
          <w:rFonts w:cs="Arial"/>
          <w:spacing w:val="22"/>
        </w:rPr>
        <w:t xml:space="preserve"> </w:t>
      </w:r>
      <w:r w:rsidRPr="001E005B">
        <w:rPr>
          <w:rFonts w:cs="Arial"/>
          <w:spacing w:val="-1"/>
        </w:rPr>
        <w:t>the</w:t>
      </w:r>
      <w:r w:rsidRPr="001E005B">
        <w:rPr>
          <w:rFonts w:cs="Arial"/>
          <w:spacing w:val="20"/>
        </w:rPr>
        <w:t xml:space="preserve"> </w:t>
      </w:r>
      <w:r w:rsidRPr="001E005B">
        <w:rPr>
          <w:rFonts w:cs="Arial"/>
          <w:spacing w:val="-1"/>
        </w:rPr>
        <w:t>study</w:t>
      </w:r>
      <w:r w:rsidRPr="001E005B">
        <w:rPr>
          <w:rFonts w:cs="Arial"/>
          <w:spacing w:val="19"/>
        </w:rPr>
        <w:t xml:space="preserve"> </w:t>
      </w:r>
      <w:r w:rsidRPr="001E005B">
        <w:rPr>
          <w:rFonts w:cs="Arial"/>
          <w:spacing w:val="-1"/>
        </w:rPr>
        <w:t>conduct),</w:t>
      </w:r>
      <w:r w:rsidRPr="001E005B">
        <w:rPr>
          <w:rFonts w:cs="Arial"/>
          <w:spacing w:val="59"/>
        </w:rPr>
        <w:t xml:space="preserve"> </w:t>
      </w:r>
      <w:r w:rsidRPr="001E005B">
        <w:rPr>
          <w:rFonts w:cs="Arial"/>
          <w:spacing w:val="-1"/>
        </w:rPr>
        <w:t>original</w:t>
      </w:r>
      <w:r w:rsidRPr="001E005B">
        <w:rPr>
          <w:rFonts w:cs="Arial"/>
          <w:spacing w:val="-5"/>
        </w:rPr>
        <w:t xml:space="preserve"> </w:t>
      </w:r>
      <w:r w:rsidRPr="001E005B">
        <w:rPr>
          <w:rFonts w:cs="Arial"/>
          <w:spacing w:val="-1"/>
        </w:rPr>
        <w:t>(the</w:t>
      </w:r>
      <w:r w:rsidRPr="001E005B">
        <w:rPr>
          <w:rFonts w:cs="Arial"/>
          <w:spacing w:val="-6"/>
        </w:rPr>
        <w:t xml:space="preserve"> </w:t>
      </w:r>
      <w:r w:rsidRPr="001E005B">
        <w:rPr>
          <w:rFonts w:cs="Arial"/>
          <w:spacing w:val="-1"/>
        </w:rPr>
        <w:t>first</w:t>
      </w:r>
      <w:r w:rsidRPr="001E005B">
        <w:rPr>
          <w:rFonts w:cs="Arial"/>
          <w:spacing w:val="-7"/>
        </w:rPr>
        <w:t xml:space="preserve"> </w:t>
      </w:r>
      <w:r w:rsidRPr="001E005B">
        <w:rPr>
          <w:rFonts w:cs="Arial"/>
          <w:spacing w:val="-1"/>
        </w:rPr>
        <w:t>place</w:t>
      </w:r>
      <w:r w:rsidRPr="001E005B">
        <w:rPr>
          <w:rFonts w:cs="Arial"/>
          <w:spacing w:val="-6"/>
        </w:rPr>
        <w:t xml:space="preserve"> </w:t>
      </w:r>
      <w:r w:rsidRPr="001E005B">
        <w:rPr>
          <w:rFonts w:cs="Arial"/>
          <w:spacing w:val="-1"/>
        </w:rPr>
        <w:t>the</w:t>
      </w:r>
      <w:r w:rsidRPr="001E005B">
        <w:rPr>
          <w:rFonts w:cs="Arial"/>
          <w:spacing w:val="-6"/>
        </w:rPr>
        <w:t xml:space="preserve"> </w:t>
      </w:r>
      <w:r w:rsidRPr="001E005B">
        <w:rPr>
          <w:rFonts w:cs="Arial"/>
          <w:spacing w:val="-1"/>
        </w:rPr>
        <w:t>information</w:t>
      </w:r>
      <w:r w:rsidRPr="001E005B">
        <w:rPr>
          <w:rFonts w:cs="Arial"/>
          <w:spacing w:val="-8"/>
        </w:rPr>
        <w:t xml:space="preserve"> </w:t>
      </w:r>
      <w:r w:rsidRPr="001E005B">
        <w:rPr>
          <w:rFonts w:cs="Arial"/>
          <w:spacing w:val="-1"/>
        </w:rPr>
        <w:t>was</w:t>
      </w:r>
      <w:r w:rsidRPr="001E005B">
        <w:rPr>
          <w:rFonts w:cs="Arial"/>
          <w:spacing w:val="-7"/>
        </w:rPr>
        <w:t xml:space="preserve"> </w:t>
      </w:r>
      <w:r w:rsidRPr="001E005B">
        <w:rPr>
          <w:rFonts w:cs="Arial"/>
          <w:spacing w:val="-1"/>
        </w:rPr>
        <w:t>recorded),</w:t>
      </w:r>
      <w:r w:rsidRPr="001E005B">
        <w:rPr>
          <w:rFonts w:cs="Arial"/>
          <w:spacing w:val="-9"/>
        </w:rPr>
        <w:t xml:space="preserve"> </w:t>
      </w:r>
      <w:r w:rsidRPr="001E005B">
        <w:rPr>
          <w:rFonts w:cs="Arial"/>
          <w:spacing w:val="-1"/>
        </w:rPr>
        <w:t>accurate</w:t>
      </w:r>
      <w:r w:rsidRPr="001E005B">
        <w:rPr>
          <w:rFonts w:cs="Arial"/>
          <w:spacing w:val="-6"/>
        </w:rPr>
        <w:t xml:space="preserve"> </w:t>
      </w:r>
      <w:r w:rsidRPr="001E005B">
        <w:rPr>
          <w:rFonts w:cs="Arial"/>
          <w:spacing w:val="-1"/>
        </w:rPr>
        <w:t>(reflect</w:t>
      </w:r>
      <w:r w:rsidRPr="001E005B">
        <w:rPr>
          <w:rFonts w:cs="Arial"/>
          <w:spacing w:val="-6"/>
        </w:rPr>
        <w:t xml:space="preserve"> </w:t>
      </w:r>
      <w:r w:rsidRPr="001E005B">
        <w:rPr>
          <w:rFonts w:cs="Arial"/>
          <w:spacing w:val="-1"/>
        </w:rPr>
        <w:t>what</w:t>
      </w:r>
      <w:r w:rsidRPr="001E005B">
        <w:rPr>
          <w:rFonts w:cs="Arial"/>
          <w:spacing w:val="-7"/>
        </w:rPr>
        <w:t xml:space="preserve"> </w:t>
      </w:r>
      <w:r w:rsidRPr="001E005B">
        <w:rPr>
          <w:rFonts w:cs="Arial"/>
          <w:spacing w:val="-1"/>
        </w:rPr>
        <w:t>occurred)</w:t>
      </w:r>
      <w:r w:rsidRPr="001E005B">
        <w:rPr>
          <w:rFonts w:cs="Arial"/>
          <w:spacing w:val="-4"/>
        </w:rPr>
        <w:t xml:space="preserve"> </w:t>
      </w:r>
      <w:r w:rsidRPr="001E005B">
        <w:rPr>
          <w:rFonts w:cs="Arial"/>
          <w:spacing w:val="-1"/>
        </w:rPr>
        <w:t>and</w:t>
      </w:r>
      <w:r w:rsidRPr="001E005B">
        <w:rPr>
          <w:rFonts w:cs="Arial"/>
          <w:spacing w:val="-5"/>
        </w:rPr>
        <w:t xml:space="preserve"> </w:t>
      </w:r>
      <w:r w:rsidRPr="001E005B">
        <w:rPr>
          <w:rFonts w:cs="Arial"/>
          <w:spacing w:val="-1"/>
        </w:rPr>
        <w:t>complete</w:t>
      </w:r>
      <w:r w:rsidRPr="001E005B">
        <w:rPr>
          <w:rFonts w:cs="Arial"/>
          <w:spacing w:val="65"/>
        </w:rPr>
        <w:t xml:space="preserve"> </w:t>
      </w:r>
      <w:r w:rsidRPr="001E005B">
        <w:rPr>
          <w:rFonts w:cs="Arial"/>
          <w:spacing w:val="-1"/>
        </w:rPr>
        <w:t>(final</w:t>
      </w:r>
      <w:r w:rsidRPr="001E005B">
        <w:rPr>
          <w:rFonts w:cs="Arial"/>
        </w:rPr>
        <w:t xml:space="preserve"> </w:t>
      </w:r>
      <w:r w:rsidRPr="001E005B">
        <w:rPr>
          <w:rFonts w:cs="Arial"/>
          <w:spacing w:val="-1"/>
        </w:rPr>
        <w:t xml:space="preserve">with </w:t>
      </w:r>
      <w:r w:rsidRPr="001E005B">
        <w:rPr>
          <w:rFonts w:cs="Arial"/>
          <w:spacing w:val="-2"/>
        </w:rPr>
        <w:t>no</w:t>
      </w:r>
      <w:r w:rsidRPr="001E005B">
        <w:rPr>
          <w:rFonts w:cs="Arial"/>
          <w:spacing w:val="-1"/>
        </w:rPr>
        <w:t xml:space="preserve"> missing information).</w:t>
      </w:r>
    </w:p>
    <w:p w:rsidR="007E2502" w:rsidRPr="007E2502" w:rsidP="00202C4E" w14:paraId="34253BF7" w14:textId="2976410C">
      <w:pPr>
        <w:spacing w:before="120" w:after="120" w:line="276" w:lineRule="auto"/>
        <w:ind w:left="720"/>
        <w:contextualSpacing w:val="0"/>
        <w:rPr>
          <w:rFonts w:cstheme="minorHAnsi"/>
        </w:rPr>
      </w:pPr>
      <w:r w:rsidRPr="007E2502">
        <w:rPr>
          <w:rStyle w:val="Hyperlink0"/>
          <w:rFonts w:cstheme="minorHAnsi"/>
          <w:b/>
          <w:bCs/>
        </w:rPr>
        <w:t>Health Insurance Portability and Accountability Act (HIPAA)</w:t>
      </w:r>
      <w:r>
        <w:rPr>
          <w:rStyle w:val="Hyperlink0"/>
          <w:rFonts w:cstheme="minorHAnsi"/>
        </w:rPr>
        <w:t xml:space="preserve"> - </w:t>
      </w:r>
      <w:r w:rsidRPr="00C6359C">
        <w:rPr>
          <w:rStyle w:val="Hyperlink0"/>
          <w:rFonts w:cstheme="minorHAnsi"/>
        </w:rPr>
        <w:t>The Health Insurance Portability and Accountability Act (HIPAA) is an act created by the U.S. Congress in 1996 that amends both the </w:t>
      </w:r>
      <w:hyperlink r:id="rId13" w:history="1">
        <w:r w:rsidRPr="00C6359C">
          <w:rPr>
            <w:rStyle w:val="Hyperlink0"/>
            <w:rFonts w:cstheme="minorHAnsi"/>
          </w:rPr>
          <w:t>Employee Retirement Income Security Act (ERISA)</w:t>
        </w:r>
      </w:hyperlink>
      <w:r w:rsidRPr="00C6359C">
        <w:rPr>
          <w:rStyle w:val="Hyperlink0"/>
          <w:rFonts w:cstheme="minorHAnsi"/>
        </w:rPr>
        <w:t> and the Public Health Service Act (PHSA). HIPAA was enacted in an effort to protect individuals covered by </w:t>
      </w:r>
      <w:hyperlink r:id="rId14" w:history="1">
        <w:r w:rsidRPr="00C6359C">
          <w:rPr>
            <w:rStyle w:val="Hyperlink0"/>
            <w:rFonts w:cstheme="minorHAnsi"/>
          </w:rPr>
          <w:t>health insurance</w:t>
        </w:r>
      </w:hyperlink>
      <w:r w:rsidRPr="00C6359C">
        <w:rPr>
          <w:rStyle w:val="Hyperlink0"/>
          <w:rFonts w:cstheme="minorHAnsi"/>
        </w:rPr>
        <w:t> and to set standards for the storage and privacy of personal medical data.</w:t>
      </w:r>
    </w:p>
    <w:p w:rsidR="00AD1446" w:rsidRPr="00AD1446" w:rsidP="00202C4E" w14:paraId="78739A02" w14:textId="3B2DE25F">
      <w:pPr>
        <w:spacing w:before="120" w:after="120" w:line="276" w:lineRule="auto"/>
        <w:ind w:left="720"/>
        <w:contextualSpacing w:val="0"/>
        <w:rPr>
          <w:rFonts w:cs="Arial"/>
          <w:color w:val="000000"/>
          <w:shd w:val="clear" w:color="auto" w:fill="FFFFFF"/>
        </w:rPr>
      </w:pPr>
      <w:r w:rsidRPr="00AD1446">
        <w:rPr>
          <w:rFonts w:cs="Arial"/>
          <w:b/>
          <w:bCs/>
        </w:rPr>
        <w:t xml:space="preserve">International Council for Harmonisation (ICH) Good Clinical Practice (GCP) </w:t>
      </w:r>
      <w:r>
        <w:rPr>
          <w:rFonts w:cs="Arial"/>
        </w:rPr>
        <w:t xml:space="preserve">– </w:t>
      </w:r>
      <w:r w:rsidRPr="007C1C5E">
        <w:rPr>
          <w:rStyle w:val="normaltextrun"/>
          <w:rFonts w:cs="Arial"/>
          <w:color w:val="000000"/>
          <w:shd w:val="clear" w:color="auto" w:fill="FFFFFF"/>
        </w:rPr>
        <w:t>An international ethical and scientific quality standard for the design, conduct, performance, monitoring, auditing, recording, analyses, and reporting of clinical trials that provides assurance that the data and reported results are credible and accurate, and that the rights, integrity, and confidentiality of trial subjects are protected.</w:t>
      </w:r>
      <w:r w:rsidRPr="007C1C5E">
        <w:rPr>
          <w:rStyle w:val="eop"/>
          <w:rFonts w:cs="Arial"/>
          <w:color w:val="000000"/>
          <w:shd w:val="clear" w:color="auto" w:fill="FFFFFF"/>
        </w:rPr>
        <w:t> </w:t>
      </w:r>
    </w:p>
    <w:p w:rsidR="00EF1BAD" w:rsidRPr="00202C4E" w:rsidP="00202C4E" w14:paraId="654DADF4" w14:textId="222CF833">
      <w:pPr>
        <w:spacing w:before="120" w:after="120" w:line="276" w:lineRule="auto"/>
        <w:ind w:left="720"/>
        <w:contextualSpacing w:val="0"/>
        <w:rPr>
          <w:rStyle w:val="Hyperlink0"/>
          <w:rFonts w:cs="Arial"/>
        </w:rPr>
      </w:pPr>
      <w:r w:rsidRPr="00EF1BAD">
        <w:rPr>
          <w:rFonts w:cs="Arial"/>
          <w:b/>
          <w:bCs/>
        </w:rPr>
        <w:t xml:space="preserve">Investigational New Drug (IND) - </w:t>
      </w:r>
      <w:r w:rsidRPr="00EF1BAD">
        <w:rPr>
          <w:rFonts w:cs="Arial"/>
        </w:rPr>
        <w:t>Refers to the regulations in 21 CFR 312. An IND that is in effect means that 30 days have elapsed from the date that a complete IND application was submitted to the FDA and an appropriate IRB has reviewed and approved the Sponsor’s clinical study, all the requirements under 21 CFR 312 are met and an Investigational Product can be distributed to Investigators.</w:t>
      </w:r>
    </w:p>
    <w:p w:rsidR="008F79A9" w:rsidP="00202C4E" w14:paraId="6B5C1E91" w14:textId="07942048">
      <w:pPr>
        <w:spacing w:before="120" w:after="120" w:line="276" w:lineRule="auto"/>
        <w:ind w:left="720"/>
        <w:contextualSpacing w:val="0"/>
        <w:rPr>
          <w:rStyle w:val="Hyperlink0"/>
          <w:rFonts w:cs="Arial"/>
        </w:rPr>
      </w:pPr>
      <w:r w:rsidRPr="00EF1BAD">
        <w:rPr>
          <w:rStyle w:val="Hyperlink0"/>
          <w:rFonts w:cs="Arial"/>
          <w:b/>
          <w:bCs/>
        </w:rPr>
        <w:t>Investigational Device Exemption (IDE)</w:t>
      </w:r>
      <w:r w:rsidRPr="00EF1BAD">
        <w:rPr>
          <w:rStyle w:val="Hyperlink0"/>
          <w:rFonts w:cs="Arial"/>
        </w:rPr>
        <w:t xml:space="preserve"> - Refers to the regulations in 21 CFR 812. An approved IDE means the IRB (and the FDA, for significant risk devices) has approved a Sponsor's clinical investigation application, all the requirements under 21 CFR 812 are met and inv</w:t>
      </w:r>
      <w:r w:rsidR="00202C4E">
        <w:rPr>
          <w:rStyle w:val="Hyperlink0"/>
          <w:rFonts w:cs="Arial"/>
        </w:rPr>
        <w:t>e</w:t>
      </w:r>
      <w:r w:rsidRPr="00EF1BAD">
        <w:rPr>
          <w:rStyle w:val="Hyperlink0"/>
          <w:rFonts w:cs="Arial"/>
        </w:rPr>
        <w:t>stigational product can be distributed to sites.</w:t>
      </w:r>
    </w:p>
    <w:p w:rsidR="007C0BFF" w:rsidP="00202C4E" w14:paraId="118153A2" w14:textId="38029EC8">
      <w:pPr>
        <w:pStyle w:val="BodyText"/>
        <w:spacing w:before="120" w:line="276" w:lineRule="auto"/>
        <w:contextualSpacing w:val="0"/>
        <w:rPr>
          <w:rFonts w:eastAsiaTheme="minorEastAsia" w:cstheme="minorHAnsi"/>
        </w:rPr>
      </w:pPr>
      <w:r>
        <w:rPr>
          <w:rStyle w:val="Hyperlink0"/>
          <w:rFonts w:cs="Arial"/>
          <w:b/>
          <w:bCs/>
        </w:rPr>
        <w:tab/>
      </w:r>
      <w:r>
        <w:rPr>
          <w:rStyle w:val="Hyperlink0"/>
          <w:rFonts w:cs="Arial"/>
          <w:b/>
          <w:bCs/>
        </w:rPr>
        <w:t xml:space="preserve">OnCore </w:t>
      </w:r>
      <w:r w:rsidRPr="00BD7BDE">
        <w:t>-</w:t>
      </w:r>
      <w:r>
        <w:t xml:space="preserve"> </w:t>
      </w:r>
      <w:r w:rsidRPr="00DB1548" w:rsidR="007B1EC9">
        <w:rPr>
          <w:rFonts w:eastAsiaTheme="minorEastAsia" w:cstheme="minorHAnsi"/>
        </w:rPr>
        <w:t>Yale School of Medicine’s Clinical Trials Management System.</w:t>
      </w:r>
    </w:p>
    <w:p w:rsidR="00450133" w:rsidRPr="00450133" w:rsidP="00202C4E" w14:paraId="2E90CCD9" w14:textId="02792D89">
      <w:pPr>
        <w:pStyle w:val="ListParagraph"/>
        <w:spacing w:before="120" w:after="120" w:line="276" w:lineRule="auto"/>
        <w:contextualSpacing w:val="0"/>
        <w:rPr>
          <w:rFonts w:cs="Arial"/>
        </w:rPr>
      </w:pPr>
      <w:r w:rsidRPr="0296C1C4" w:rsidR="0296C1C4">
        <w:rPr>
          <w:rFonts w:cs="Arial"/>
          <w:b/>
          <w:bCs/>
        </w:rPr>
        <w:t xml:space="preserve">Standard Operating Procedures (SOPs) </w:t>
      </w:r>
      <w:r w:rsidRPr="0296C1C4" w:rsidR="0296C1C4">
        <w:rPr>
          <w:rFonts w:cs="Arial"/>
        </w:rPr>
        <w:t>- Detailed, documented instructions to achieve uniformity of the performance of a specific activity.</w:t>
      </w:r>
    </w:p>
    <w:p w:rsidR="00C25BAB" w:rsidRPr="00CD2820" w:rsidP="00202C4E" w14:paraId="3A74C3D3" w14:textId="6042B778">
      <w:pPr>
        <w:spacing w:line="276" w:lineRule="auto"/>
        <w:ind w:left="720"/>
        <w:rPr>
          <w:rFonts w:cs="Arial"/>
        </w:rPr>
      </w:pPr>
      <w:r w:rsidRPr="001B4B35">
        <w:rPr>
          <w:rFonts w:cs="Arial"/>
        </w:rPr>
        <w:t>The terms “subject” and “participant” where applicable are interchangeable.</w:t>
      </w:r>
    </w:p>
    <w:p w:rsidR="001B7499" w:rsidRPr="00CD2820" w:rsidP="00822606" w14:paraId="2AA46097" w14:textId="303A015D">
      <w:pPr>
        <w:pStyle w:val="SectionHeading"/>
        <w:numPr>
          <w:ilvl w:val="0"/>
          <w:numId w:val="8"/>
        </w:numPr>
        <w:spacing w:before="240" w:after="240"/>
        <w:ind w:left="720" w:hanging="720"/>
        <w:contextualSpacing w:val="0"/>
        <w:rPr>
          <w:sz w:val="28"/>
          <w:szCs w:val="28"/>
        </w:rPr>
      </w:pPr>
      <w:bookmarkStart w:id="0" w:name="_Toc425171621"/>
      <w:r w:rsidRPr="00CD2820">
        <w:rPr>
          <w:color w:val="365F91" w:themeColor="accent1" w:themeShade="BF"/>
          <w:sz w:val="28"/>
          <w:szCs w:val="28"/>
        </w:rPr>
        <w:t>P</w:t>
      </w:r>
      <w:r w:rsidRPr="00CD2820" w:rsidR="00E427FB">
        <w:rPr>
          <w:color w:val="365F91" w:themeColor="accent1" w:themeShade="BF"/>
          <w:sz w:val="28"/>
          <w:szCs w:val="28"/>
        </w:rPr>
        <w:t>rocedure</w:t>
      </w:r>
      <w:r w:rsidRPr="00CD2820">
        <w:rPr>
          <w:sz w:val="28"/>
          <w:szCs w:val="28"/>
        </w:rPr>
        <w:t xml:space="preserve"> </w:t>
      </w:r>
      <w:bookmarkStart w:id="1" w:name="_Toc427373286"/>
      <w:bookmarkStart w:id="2" w:name="_Toc425171622"/>
      <w:bookmarkStart w:id="3" w:name="_Toc425171625"/>
      <w:bookmarkEnd w:id="0"/>
    </w:p>
    <w:p w:rsidR="004D0FD1" w:rsidRPr="00822606" w:rsidP="00822606" w14:paraId="4F9E5364" w14:textId="050B8C61">
      <w:pPr>
        <w:pStyle w:val="1-PolicySectionlevel"/>
        <w:numPr>
          <w:ilvl w:val="1"/>
          <w:numId w:val="8"/>
        </w:numPr>
        <w:spacing w:before="120" w:after="120"/>
        <w:contextualSpacing w:val="0"/>
      </w:pPr>
      <w:bookmarkStart w:id="4" w:name="_Toc425171623"/>
      <w:bookmarkEnd w:id="1"/>
      <w:bookmarkEnd w:id="2"/>
      <w:r>
        <w:t>Tiered Support Model</w:t>
      </w:r>
      <w:bookmarkStart w:id="5" w:name="_Hlk188373351"/>
      <w:bookmarkEnd w:id="4"/>
    </w:p>
    <w:p w:rsidR="00AE7FD8" w:rsidRPr="00F323C1" w:rsidP="00822606" w14:paraId="18A5D482" w14:textId="698FA348">
      <w:pPr>
        <w:pStyle w:val="1-PolicySectionlevel"/>
        <w:numPr>
          <w:ilvl w:val="2"/>
          <w:numId w:val="8"/>
        </w:numPr>
        <w:spacing w:before="120" w:after="120" w:line="276" w:lineRule="auto"/>
        <w:ind w:left="1886"/>
        <w:contextualSpacing w:val="0"/>
      </w:pPr>
      <w:r w:rsidRPr="00F323C1">
        <w:t>Assess Risk Level</w:t>
      </w:r>
    </w:p>
    <w:p w:rsidR="00F71947" w:rsidRPr="00F71947" w:rsidP="00822606" w14:paraId="2C4D5D21" w14:textId="61BAB3A5">
      <w:pPr>
        <w:pBdr>
          <w:top w:val="nil"/>
          <w:left w:val="nil"/>
          <w:bottom w:val="nil"/>
          <w:right w:val="nil"/>
          <w:between w:val="nil"/>
        </w:pBdr>
        <w:spacing w:before="120" w:after="120" w:line="276" w:lineRule="auto"/>
        <w:ind w:left="1886"/>
        <w:contextualSpacing w:val="0"/>
        <w:rPr>
          <w:rFonts w:cs="Arial"/>
          <w:bCs/>
          <w:color w:val="000000"/>
        </w:rPr>
      </w:pPr>
      <w:r w:rsidRPr="00E8050A">
        <w:rPr>
          <w:rFonts w:cs="Arial"/>
        </w:rPr>
        <w:t xml:space="preserve">Using the </w:t>
      </w:r>
      <w:r w:rsidR="00204F10">
        <w:rPr>
          <w:rFonts w:cs="Arial"/>
        </w:rPr>
        <w:t xml:space="preserve">Office </w:t>
      </w:r>
      <w:bookmarkEnd w:id="5"/>
      <w:r w:rsidR="00204F10">
        <w:rPr>
          <w:rFonts w:cs="Arial"/>
        </w:rPr>
        <w:t>of Quality Assurance</w:t>
      </w:r>
      <w:r w:rsidR="008A7DAB">
        <w:rPr>
          <w:rFonts w:cs="Arial"/>
        </w:rPr>
        <w:t xml:space="preserve"> and Monitoring</w:t>
      </w:r>
      <w:r w:rsidR="00204F10">
        <w:rPr>
          <w:rFonts w:cs="Arial"/>
        </w:rPr>
        <w:t xml:space="preserve"> (</w:t>
      </w:r>
      <w:r w:rsidRPr="00E8050A">
        <w:rPr>
          <w:rFonts w:cs="Arial"/>
        </w:rPr>
        <w:t>OQAM</w:t>
      </w:r>
      <w:r w:rsidR="00204F10">
        <w:rPr>
          <w:rFonts w:cs="Arial"/>
        </w:rPr>
        <w:t>)</w:t>
      </w:r>
      <w:r w:rsidRPr="00E8050A">
        <w:rPr>
          <w:rFonts w:cs="Arial"/>
        </w:rPr>
        <w:t xml:space="preserve"> Risk Assessment Scale, e</w:t>
      </w:r>
      <w:r w:rsidRPr="00E8050A">
        <w:rPr>
          <w:rFonts w:cs="Arial"/>
          <w:bCs/>
          <w:color w:val="000000"/>
        </w:rPr>
        <w:t xml:space="preserve">ach planned project is assigned one of three risk categories (Low, Moderate High) which is then documented in OnCore. Support (% FTE / estimated budgeting) is assessed by using </w:t>
      </w:r>
      <w:r w:rsidR="0023629E">
        <w:rPr>
          <w:rFonts w:cs="Arial"/>
          <w:bCs/>
          <w:color w:val="000000"/>
        </w:rPr>
        <w:t>the risk assessment</w:t>
      </w:r>
      <w:r w:rsidR="00397A8D">
        <w:rPr>
          <w:rFonts w:cs="Arial"/>
          <w:bCs/>
          <w:color w:val="000000"/>
        </w:rPr>
        <w:t xml:space="preserve"> and available study details about complexity of the study, investigational product/device, number of sites</w:t>
      </w:r>
      <w:r w:rsidR="003056B0">
        <w:rPr>
          <w:rFonts w:cs="Arial"/>
          <w:bCs/>
          <w:color w:val="000000"/>
        </w:rPr>
        <w:t xml:space="preserve">, enrollment goal and study duration.  </w:t>
      </w:r>
    </w:p>
    <w:p w:rsidR="00F71947" w:rsidP="00562F4D" w14:paraId="2EFA817F" w14:textId="77777777">
      <w:pPr>
        <w:pStyle w:val="ListParagraph"/>
        <w:numPr>
          <w:ilvl w:val="2"/>
          <w:numId w:val="47"/>
        </w:numPr>
        <w:spacing w:before="0" w:after="0" w:line="276" w:lineRule="auto"/>
        <w:ind w:left="2430"/>
        <w:contextualSpacing w:val="0"/>
      </w:pPr>
      <w:r>
        <w:t>Low Risk &lt; 7</w:t>
      </w:r>
    </w:p>
    <w:p w:rsidR="00F71947" w:rsidP="00562F4D" w14:paraId="65ABFF68" w14:textId="77777777">
      <w:pPr>
        <w:pStyle w:val="ListParagraph"/>
        <w:numPr>
          <w:ilvl w:val="2"/>
          <w:numId w:val="47"/>
        </w:numPr>
        <w:spacing w:before="0" w:after="0"/>
        <w:ind w:left="2430"/>
        <w:contextualSpacing w:val="0"/>
      </w:pPr>
      <w:r>
        <w:t>Moderate Risk 7 – 10</w:t>
      </w:r>
    </w:p>
    <w:p w:rsidR="003E5697" w:rsidRPr="007B76A8" w:rsidP="00562F4D" w14:paraId="40ED8FE5" w14:textId="0E7EAF12">
      <w:pPr>
        <w:pStyle w:val="ListParagraph"/>
        <w:numPr>
          <w:ilvl w:val="2"/>
          <w:numId w:val="47"/>
        </w:numPr>
        <w:spacing w:before="0" w:after="0"/>
        <w:ind w:left="2430"/>
        <w:contextualSpacing w:val="0"/>
      </w:pPr>
      <w:r>
        <w:t>High Risk &gt; 10</w:t>
      </w:r>
    </w:p>
    <w:p w:rsidR="001B0907" w:rsidRPr="00745950" w:rsidP="00F74E77" w14:paraId="29DD3FD3" w14:textId="43F29506">
      <w:pPr>
        <w:pStyle w:val="1-PolicySectionlevel"/>
        <w:numPr>
          <w:ilvl w:val="1"/>
          <w:numId w:val="8"/>
        </w:numPr>
        <w:spacing w:before="120" w:after="120"/>
        <w:contextualSpacing w:val="0"/>
        <w:rPr>
          <w:rFonts w:cs="Arial"/>
          <w:color w:val="000000"/>
        </w:rPr>
      </w:pPr>
      <w:r>
        <w:t>Define Level of Support</w:t>
      </w:r>
    </w:p>
    <w:p w:rsidR="00642E5E" w:rsidRPr="006E6859" w:rsidP="006E6859" w14:paraId="5B72C324" w14:textId="2F1A3255">
      <w:pPr>
        <w:pStyle w:val="ListParagraph"/>
        <w:pBdr>
          <w:top w:val="nil"/>
          <w:left w:val="nil"/>
          <w:bottom w:val="nil"/>
          <w:right w:val="nil"/>
          <w:between w:val="nil"/>
        </w:pBdr>
        <w:spacing w:before="120" w:after="120" w:line="276" w:lineRule="auto"/>
        <w:ind w:left="994"/>
        <w:contextualSpacing w:val="0"/>
        <w:rPr>
          <w:rFonts w:cs="Arial"/>
          <w:bCs/>
          <w:color w:val="000000"/>
        </w:rPr>
      </w:pPr>
      <w:r w:rsidRPr="00A1289D">
        <w:rPr>
          <w:rFonts w:cs="Arial"/>
          <w:bCs/>
          <w:color w:val="000000"/>
        </w:rPr>
        <w:t>Each planned project is assigned one of three risk categories using the risk assessment documented in OnCore</w:t>
      </w:r>
      <w:r w:rsidRPr="00A1289D" w:rsidR="00EE04BE">
        <w:rPr>
          <w:rFonts w:cs="Arial"/>
          <w:bCs/>
          <w:color w:val="000000"/>
        </w:rPr>
        <w:t>.  T</w:t>
      </w:r>
      <w:r w:rsidRPr="00A1289D" w:rsidR="004E5180">
        <w:rPr>
          <w:rFonts w:cs="Arial"/>
          <w:bCs/>
          <w:color w:val="000000"/>
        </w:rPr>
        <w:t xml:space="preserve">he </w:t>
      </w:r>
      <w:r w:rsidRPr="00A1289D" w:rsidR="009B0D24">
        <w:rPr>
          <w:rFonts w:cs="Arial"/>
          <w:bCs/>
          <w:color w:val="000000"/>
        </w:rPr>
        <w:t xml:space="preserve">assessment of </w:t>
      </w:r>
      <w:r w:rsidRPr="00A1289D" w:rsidR="004E5180">
        <w:rPr>
          <w:rFonts w:cs="Arial"/>
          <w:bCs/>
          <w:color w:val="000000"/>
        </w:rPr>
        <w:t xml:space="preserve">risk level </w:t>
      </w:r>
      <w:r w:rsidRPr="00A1289D" w:rsidR="008970CC">
        <w:rPr>
          <w:rFonts w:cs="Arial"/>
          <w:bCs/>
          <w:color w:val="000000"/>
        </w:rPr>
        <w:t xml:space="preserve">will impact </w:t>
      </w:r>
      <w:r w:rsidRPr="00A1289D" w:rsidR="004707C1">
        <w:rPr>
          <w:rFonts w:cs="Arial"/>
          <w:bCs/>
          <w:color w:val="000000"/>
        </w:rPr>
        <w:t xml:space="preserve">the </w:t>
      </w:r>
      <w:r w:rsidRPr="00A1289D" w:rsidR="00502AB2">
        <w:rPr>
          <w:rFonts w:cs="Arial"/>
          <w:bCs/>
          <w:color w:val="000000"/>
        </w:rPr>
        <w:t xml:space="preserve">projected </w:t>
      </w:r>
      <w:r w:rsidRPr="00A1289D" w:rsidR="00115EC5">
        <w:rPr>
          <w:rFonts w:cs="Arial"/>
          <w:bCs/>
          <w:color w:val="000000"/>
        </w:rPr>
        <w:t>level of</w:t>
      </w:r>
      <w:r w:rsidRPr="00A1289D" w:rsidR="00B160F9">
        <w:rPr>
          <w:rFonts w:cs="Arial"/>
          <w:bCs/>
          <w:color w:val="000000"/>
        </w:rPr>
        <w:t xml:space="preserve"> </w:t>
      </w:r>
      <w:r w:rsidRPr="00A1289D" w:rsidR="004707C1">
        <w:rPr>
          <w:rFonts w:cs="Arial"/>
          <w:bCs/>
          <w:color w:val="000000"/>
        </w:rPr>
        <w:t xml:space="preserve">effort </w:t>
      </w:r>
      <w:r w:rsidRPr="00A1289D" w:rsidR="00B160F9">
        <w:rPr>
          <w:rFonts w:cs="Arial"/>
          <w:bCs/>
          <w:color w:val="000000"/>
        </w:rPr>
        <w:t xml:space="preserve">needed </w:t>
      </w:r>
      <w:r w:rsidRPr="00A1289D" w:rsidR="004707C1">
        <w:rPr>
          <w:rFonts w:cs="Arial"/>
          <w:bCs/>
          <w:color w:val="000000"/>
        </w:rPr>
        <w:t xml:space="preserve">to provide adequate monitoring support and </w:t>
      </w:r>
      <w:r w:rsidRPr="00A1289D" w:rsidR="009F1D0D">
        <w:rPr>
          <w:rFonts w:cs="Arial"/>
          <w:bCs/>
          <w:color w:val="000000"/>
        </w:rPr>
        <w:t xml:space="preserve">the estimated budgeting of projected monitoring </w:t>
      </w:r>
      <w:r w:rsidRPr="00A1289D" w:rsidR="00EE04BE">
        <w:rPr>
          <w:rFonts w:cs="Arial"/>
          <w:bCs/>
          <w:color w:val="000000"/>
        </w:rPr>
        <w:t>costs</w:t>
      </w:r>
      <w:r w:rsidRPr="00A1289D" w:rsidR="009F1D0D">
        <w:rPr>
          <w:rFonts w:cs="Arial"/>
          <w:bCs/>
          <w:color w:val="000000"/>
        </w:rPr>
        <w:t>.</w:t>
      </w:r>
      <w:r w:rsidRPr="00A1289D" w:rsidR="00F40547">
        <w:rPr>
          <w:rFonts w:cs="Arial"/>
          <w:bCs/>
          <w:color w:val="000000"/>
        </w:rPr>
        <w:t xml:space="preserve">  </w:t>
      </w:r>
      <w:r w:rsidRPr="00A1289D" w:rsidR="002B28E3">
        <w:rPr>
          <w:rFonts w:cs="Arial"/>
          <w:bCs/>
          <w:color w:val="000000"/>
        </w:rPr>
        <w:t xml:space="preserve">For every project, after the risk level has been </w:t>
      </w:r>
      <w:r w:rsidRPr="00A1289D" w:rsidR="00EE04BE">
        <w:rPr>
          <w:rFonts w:cs="Arial"/>
          <w:bCs/>
          <w:color w:val="000000"/>
        </w:rPr>
        <w:t>defined,</w:t>
      </w:r>
      <w:r w:rsidRPr="00A1289D" w:rsidR="002B28E3">
        <w:rPr>
          <w:rFonts w:cs="Arial"/>
          <w:bCs/>
          <w:color w:val="000000"/>
        </w:rPr>
        <w:t xml:space="preserve"> the following information should be </w:t>
      </w:r>
      <w:r w:rsidRPr="00A1289D" w:rsidR="00730A24">
        <w:rPr>
          <w:rFonts w:cs="Arial"/>
          <w:bCs/>
          <w:color w:val="000000"/>
        </w:rPr>
        <w:t>gathered</w:t>
      </w:r>
      <w:r w:rsidRPr="00A1289D" w:rsidR="002B28E3">
        <w:rPr>
          <w:rFonts w:cs="Arial"/>
          <w:bCs/>
          <w:color w:val="000000"/>
        </w:rPr>
        <w:t xml:space="preserve"> </w:t>
      </w:r>
      <w:r w:rsidRPr="00A1289D" w:rsidR="003F5B0D">
        <w:rPr>
          <w:rFonts w:cs="Arial"/>
          <w:bCs/>
          <w:color w:val="000000"/>
        </w:rPr>
        <w:t>to</w:t>
      </w:r>
      <w:r w:rsidRPr="00A1289D" w:rsidR="00BA6765">
        <w:rPr>
          <w:rFonts w:cs="Arial"/>
          <w:bCs/>
          <w:color w:val="000000"/>
        </w:rPr>
        <w:t xml:space="preserve"> </w:t>
      </w:r>
      <w:r w:rsidRPr="00A1289D" w:rsidR="009018E7">
        <w:rPr>
          <w:rFonts w:cs="Arial"/>
          <w:bCs/>
          <w:color w:val="000000"/>
        </w:rPr>
        <w:t xml:space="preserve">project both the effort and </w:t>
      </w:r>
      <w:r w:rsidRPr="00A1289D" w:rsidR="00662152">
        <w:rPr>
          <w:rFonts w:cs="Arial"/>
          <w:bCs/>
          <w:color w:val="000000"/>
        </w:rPr>
        <w:t>estimated costs</w:t>
      </w:r>
      <w:r w:rsidRPr="00A1289D" w:rsidR="00A114BD">
        <w:rPr>
          <w:rFonts w:cs="Arial"/>
          <w:bCs/>
          <w:color w:val="000000"/>
        </w:rPr>
        <w:t>:</w:t>
      </w:r>
      <w:r w:rsidRPr="00A1289D" w:rsidR="00B51514">
        <w:rPr>
          <w:rFonts w:cs="Arial"/>
          <w:bCs/>
          <w:color w:val="000000"/>
        </w:rPr>
        <w:t xml:space="preserve">  </w:t>
      </w:r>
    </w:p>
    <w:p w:rsidR="00A114BD" w:rsidRPr="00A1289D" w:rsidP="006E6859" w14:paraId="7EFB00B2" w14:textId="77777777">
      <w:pPr>
        <w:pStyle w:val="ListParagraph"/>
        <w:numPr>
          <w:ilvl w:val="0"/>
          <w:numId w:val="36"/>
        </w:numPr>
        <w:pBdr>
          <w:top w:val="nil"/>
          <w:left w:val="nil"/>
          <w:bottom w:val="nil"/>
          <w:right w:val="nil"/>
          <w:between w:val="nil"/>
        </w:pBdr>
        <w:spacing w:before="0" w:after="0" w:line="276" w:lineRule="auto"/>
        <w:ind w:left="1620"/>
        <w:contextualSpacing w:val="0"/>
        <w:rPr>
          <w:rFonts w:cs="Arial"/>
          <w:bCs/>
          <w:color w:val="000000"/>
        </w:rPr>
      </w:pPr>
      <w:r w:rsidRPr="00A1289D">
        <w:rPr>
          <w:rFonts w:cs="Arial"/>
          <w:bCs/>
          <w:color w:val="000000"/>
        </w:rPr>
        <w:t xml:space="preserve">Number of Planned Sites </w:t>
      </w:r>
    </w:p>
    <w:p w:rsidR="00A114BD" w:rsidRPr="00A1289D" w:rsidP="006E6859" w14:paraId="7E56B328" w14:textId="77777777">
      <w:pPr>
        <w:pStyle w:val="ListParagraph"/>
        <w:numPr>
          <w:ilvl w:val="0"/>
          <w:numId w:val="36"/>
        </w:numPr>
        <w:pBdr>
          <w:top w:val="nil"/>
          <w:left w:val="nil"/>
          <w:bottom w:val="nil"/>
          <w:right w:val="nil"/>
          <w:between w:val="nil"/>
        </w:pBdr>
        <w:spacing w:before="0" w:after="0" w:line="276" w:lineRule="auto"/>
        <w:ind w:left="1620"/>
        <w:contextualSpacing w:val="0"/>
        <w:rPr>
          <w:rFonts w:cs="Arial"/>
          <w:bCs/>
          <w:color w:val="000000"/>
        </w:rPr>
      </w:pPr>
      <w:r w:rsidRPr="00A1289D">
        <w:rPr>
          <w:rFonts w:cs="Arial"/>
          <w:bCs/>
          <w:color w:val="000000"/>
        </w:rPr>
        <w:t>Enrollment Duration</w:t>
      </w:r>
    </w:p>
    <w:p w:rsidR="00A114BD" w:rsidRPr="00A1289D" w:rsidP="006E6859" w14:paraId="5F240788" w14:textId="77777777">
      <w:pPr>
        <w:pStyle w:val="ListParagraph"/>
        <w:numPr>
          <w:ilvl w:val="0"/>
          <w:numId w:val="36"/>
        </w:numPr>
        <w:pBdr>
          <w:top w:val="nil"/>
          <w:left w:val="nil"/>
          <w:bottom w:val="nil"/>
          <w:right w:val="nil"/>
          <w:between w:val="nil"/>
        </w:pBdr>
        <w:spacing w:before="0" w:after="0" w:line="276" w:lineRule="auto"/>
        <w:ind w:left="1620"/>
        <w:contextualSpacing w:val="0"/>
        <w:rPr>
          <w:rFonts w:cs="Arial"/>
          <w:bCs/>
          <w:color w:val="000000"/>
        </w:rPr>
      </w:pPr>
      <w:r w:rsidRPr="00A1289D">
        <w:rPr>
          <w:rFonts w:cs="Arial"/>
          <w:bCs/>
          <w:color w:val="000000"/>
        </w:rPr>
        <w:t>Planned Investigational Product/Device</w:t>
      </w:r>
    </w:p>
    <w:p w:rsidR="00A114BD" w:rsidRPr="00A1289D" w:rsidP="006E6859" w14:paraId="0441CBF2" w14:textId="77777777">
      <w:pPr>
        <w:pStyle w:val="ListParagraph"/>
        <w:numPr>
          <w:ilvl w:val="0"/>
          <w:numId w:val="36"/>
        </w:numPr>
        <w:pBdr>
          <w:top w:val="nil"/>
          <w:left w:val="nil"/>
          <w:bottom w:val="nil"/>
          <w:right w:val="nil"/>
          <w:between w:val="nil"/>
        </w:pBdr>
        <w:spacing w:before="0" w:after="0" w:line="276" w:lineRule="auto"/>
        <w:ind w:left="1620"/>
        <w:contextualSpacing w:val="0"/>
        <w:rPr>
          <w:rFonts w:cs="Arial"/>
          <w:bCs/>
          <w:color w:val="000000"/>
        </w:rPr>
      </w:pPr>
      <w:r w:rsidRPr="00A1289D">
        <w:rPr>
          <w:rFonts w:cs="Arial"/>
          <w:bCs/>
          <w:color w:val="000000"/>
        </w:rPr>
        <w:t>Complexity of Treatment, Assessments and Reporting</w:t>
      </w:r>
    </w:p>
    <w:p w:rsidR="00A114BD" w:rsidRPr="00A1289D" w:rsidP="006E6859" w14:paraId="6B39A6BA" w14:textId="1095F97C">
      <w:pPr>
        <w:pStyle w:val="ListParagraph"/>
        <w:numPr>
          <w:ilvl w:val="0"/>
          <w:numId w:val="36"/>
        </w:numPr>
        <w:pBdr>
          <w:top w:val="nil"/>
          <w:left w:val="nil"/>
          <w:bottom w:val="nil"/>
          <w:right w:val="nil"/>
          <w:between w:val="nil"/>
        </w:pBdr>
        <w:spacing w:before="0" w:after="0" w:line="276" w:lineRule="auto"/>
        <w:ind w:left="1620"/>
        <w:contextualSpacing w:val="0"/>
        <w:rPr>
          <w:rFonts w:cs="Arial"/>
          <w:bCs/>
          <w:color w:val="000000"/>
        </w:rPr>
      </w:pPr>
      <w:r w:rsidRPr="00A1289D">
        <w:rPr>
          <w:rFonts w:cs="Arial"/>
          <w:bCs/>
          <w:color w:val="000000"/>
        </w:rPr>
        <w:t xml:space="preserve">Planned Project Enrollment </w:t>
      </w:r>
    </w:p>
    <w:p w:rsidR="00B51514" w:rsidRPr="007B76A8" w:rsidP="006E6859" w14:paraId="7AD8A70B" w14:textId="3123A3BC">
      <w:pPr>
        <w:pStyle w:val="ListParagraph"/>
        <w:numPr>
          <w:ilvl w:val="0"/>
          <w:numId w:val="36"/>
        </w:numPr>
        <w:pBdr>
          <w:top w:val="nil"/>
          <w:left w:val="nil"/>
          <w:bottom w:val="nil"/>
          <w:right w:val="nil"/>
          <w:between w:val="nil"/>
        </w:pBdr>
        <w:spacing w:before="0" w:after="0" w:line="276" w:lineRule="auto"/>
        <w:ind w:left="1620"/>
        <w:contextualSpacing w:val="0"/>
        <w:rPr>
          <w:rFonts w:cs="Arial"/>
          <w:bCs/>
          <w:color w:val="000000"/>
        </w:rPr>
      </w:pPr>
      <w:r w:rsidRPr="00A1289D">
        <w:rPr>
          <w:rFonts w:cs="Arial"/>
          <w:bCs/>
          <w:color w:val="000000"/>
        </w:rPr>
        <w:t xml:space="preserve">Planned </w:t>
      </w:r>
      <w:r w:rsidRPr="00A1289D" w:rsidR="00A114BD">
        <w:rPr>
          <w:rFonts w:cs="Arial"/>
          <w:bCs/>
          <w:color w:val="000000"/>
        </w:rPr>
        <w:t>Pro</w:t>
      </w:r>
      <w:r w:rsidRPr="00A1289D" w:rsidR="00454E28">
        <w:rPr>
          <w:rFonts w:cs="Arial"/>
          <w:bCs/>
          <w:color w:val="000000"/>
        </w:rPr>
        <w:t xml:space="preserve">ject Duration </w:t>
      </w:r>
    </w:p>
    <w:p w:rsidR="00B51514" w:rsidRPr="006E6859" w:rsidP="006E6859" w14:paraId="1C7F428E" w14:textId="25A950B9">
      <w:pPr>
        <w:pStyle w:val="ListParagraph"/>
        <w:pBdr>
          <w:top w:val="nil"/>
          <w:left w:val="nil"/>
          <w:bottom w:val="nil"/>
          <w:right w:val="nil"/>
          <w:between w:val="nil"/>
        </w:pBdr>
        <w:spacing w:before="120" w:after="120" w:line="276" w:lineRule="auto"/>
        <w:ind w:left="1080"/>
        <w:contextualSpacing w:val="0"/>
        <w:rPr>
          <w:rFonts w:cs="Arial"/>
          <w:bCs/>
          <w:color w:val="000000"/>
        </w:rPr>
      </w:pPr>
      <w:r w:rsidRPr="0296C1C4" w:rsidR="0296C1C4">
        <w:rPr>
          <w:rFonts w:cs="Arial"/>
          <w:color w:val="000000" w:themeColor="text1" w:themeShade="FF" w:themeTint="FF"/>
        </w:rPr>
        <w:t>The study specific</w:t>
      </w:r>
      <w:r w:rsidRPr="0296C1C4" w:rsidR="0296C1C4">
        <w:rPr>
          <w:rFonts w:cs="Arial"/>
          <w:color w:val="000000" w:themeColor="text1" w:themeShade="FF" w:themeTint="FF"/>
        </w:rPr>
        <w:t xml:space="preserve"> estimated budget can be drafted by assessing which monitoring tasks </w:t>
      </w:r>
      <w:r w:rsidRPr="0296C1C4" w:rsidR="0296C1C4">
        <w:rPr>
          <w:rFonts w:cs="Arial"/>
          <w:color w:val="000000" w:themeColor="text1" w:themeShade="FF" w:themeTint="FF"/>
        </w:rPr>
        <w:t xml:space="preserve">will </w:t>
      </w:r>
      <w:r w:rsidRPr="0296C1C4" w:rsidR="0296C1C4">
        <w:rPr>
          <w:rFonts w:cs="Arial"/>
          <w:color w:val="000000" w:themeColor="text1" w:themeShade="FF" w:themeTint="FF"/>
        </w:rPr>
        <w:t xml:space="preserve">be needed </w:t>
      </w:r>
      <w:r w:rsidRPr="0296C1C4" w:rsidR="0296C1C4">
        <w:rPr>
          <w:rFonts w:cs="Arial"/>
          <w:color w:val="000000" w:themeColor="text1" w:themeShade="FF" w:themeTint="FF"/>
        </w:rPr>
        <w:t>and</w:t>
      </w:r>
      <w:r w:rsidRPr="0296C1C4" w:rsidR="0296C1C4">
        <w:rPr>
          <w:rFonts w:cs="Arial"/>
          <w:color w:val="000000" w:themeColor="text1" w:themeShade="FF" w:themeTint="FF"/>
        </w:rPr>
        <w:t xml:space="preserve"> which </w:t>
      </w:r>
      <w:r w:rsidRPr="0296C1C4" w:rsidR="0296C1C4">
        <w:rPr>
          <w:rFonts w:cs="Arial"/>
          <w:color w:val="000000" w:themeColor="text1" w:themeShade="FF" w:themeTint="FF"/>
        </w:rPr>
        <w:t>monitoring visits will be required.  A</w:t>
      </w:r>
      <w:r w:rsidRPr="0296C1C4" w:rsidR="0296C1C4">
        <w:rPr>
          <w:rFonts w:cs="Arial"/>
          <w:color w:val="000000" w:themeColor="text1" w:themeShade="FF" w:themeTint="FF"/>
        </w:rPr>
        <w:t xml:space="preserve">n estimate is created by multiplying the projected tasks and/or visits by the number of times they will need </w:t>
      </w:r>
      <w:r w:rsidRPr="0296C1C4" w:rsidR="0296C1C4">
        <w:rPr>
          <w:rFonts w:cs="Arial"/>
          <w:color w:val="000000" w:themeColor="text1" w:themeShade="FF" w:themeTint="FF"/>
        </w:rPr>
        <w:t xml:space="preserve">(over study duration to </w:t>
      </w:r>
      <w:r w:rsidRPr="0296C1C4" w:rsidR="0296C1C4">
        <w:rPr>
          <w:rFonts w:cs="Arial"/>
          <w:color w:val="000000" w:themeColor="text1" w:themeShade="FF" w:themeTint="FF"/>
        </w:rPr>
        <w:t xml:space="preserve">cover </w:t>
      </w:r>
      <w:r w:rsidRPr="0296C1C4" w:rsidR="0296C1C4">
        <w:rPr>
          <w:rFonts w:cs="Arial"/>
          <w:color w:val="000000" w:themeColor="text1" w:themeShade="FF" w:themeTint="FF"/>
        </w:rPr>
        <w:t>all enrollment and subject participation</w:t>
      </w:r>
      <w:r w:rsidRPr="0296C1C4" w:rsidR="0296C1C4">
        <w:rPr>
          <w:rFonts w:cs="Arial"/>
          <w:color w:val="000000" w:themeColor="text1" w:themeShade="FF" w:themeTint="FF"/>
        </w:rPr>
        <w:t xml:space="preserve">), </w:t>
      </w:r>
      <w:r w:rsidRPr="0296C1C4" w:rsidR="0296C1C4">
        <w:rPr>
          <w:rFonts w:cs="Arial"/>
          <w:color w:val="000000" w:themeColor="text1" w:themeShade="FF" w:themeTint="FF"/>
        </w:rPr>
        <w:t>the average number of hours to complete the task and/or visit</w:t>
      </w:r>
      <w:r w:rsidRPr="0296C1C4" w:rsidR="0296C1C4">
        <w:rPr>
          <w:rFonts w:cs="Arial"/>
          <w:color w:val="000000" w:themeColor="text1" w:themeShade="FF" w:themeTint="FF"/>
        </w:rPr>
        <w:t xml:space="preserve">, and </w:t>
      </w:r>
      <w:r w:rsidRPr="0296C1C4" w:rsidR="0296C1C4">
        <w:rPr>
          <w:rFonts w:cs="Arial"/>
          <w:color w:val="000000" w:themeColor="text1" w:themeShade="FF" w:themeTint="FF"/>
        </w:rPr>
        <w:t xml:space="preserve">the current hourly rate.  </w:t>
      </w:r>
    </w:p>
    <w:p w:rsidR="0296C1C4" w:rsidP="0296C1C4" w14:paraId="75725D0F" w14:textId="57FAF6E8">
      <w:pPr>
        <w:pStyle w:val="ListParagraph"/>
        <w:pBdr>
          <w:top w:val="nil"/>
          <w:left w:val="nil"/>
          <w:bottom w:val="nil"/>
          <w:right w:val="nil"/>
          <w:between w:val="nil"/>
        </w:pBdr>
        <w:spacing w:after="0" w:line="276" w:lineRule="auto"/>
        <w:ind w:left="1080"/>
        <w:rPr>
          <w:rFonts w:cs="Arial"/>
        </w:rPr>
      </w:pPr>
    </w:p>
    <w:p w:rsidR="002F1762" w:rsidRPr="007B76A8" w:rsidP="006E6859" w14:paraId="1668449E" w14:textId="562CB53D">
      <w:pPr>
        <w:pStyle w:val="ListParagraph"/>
        <w:pBdr>
          <w:top w:val="nil"/>
          <w:left w:val="nil"/>
          <w:bottom w:val="nil"/>
          <w:right w:val="nil"/>
          <w:between w:val="nil"/>
        </w:pBdr>
        <w:spacing w:after="0" w:line="276" w:lineRule="auto"/>
        <w:ind w:left="1080"/>
        <w:rPr>
          <w:rFonts w:cs="Arial"/>
          <w:bCs/>
          <w:color w:val="000000"/>
        </w:rPr>
      </w:pPr>
      <w:r w:rsidRPr="00A1289D">
        <w:rPr>
          <w:rFonts w:cs="Arial"/>
          <w:bCs/>
        </w:rPr>
        <w:t>Monitoring plans will be tailored to ensure the level of support provided is consistent with the risk level</w:t>
      </w:r>
      <w:r w:rsidRPr="00A1289D" w:rsidR="00402DB6">
        <w:rPr>
          <w:rFonts w:cs="Arial"/>
          <w:bCs/>
        </w:rPr>
        <w:t xml:space="preserve">.  </w:t>
      </w:r>
      <w:r w:rsidRPr="00A1289D" w:rsidR="00C14E5D">
        <w:rPr>
          <w:rFonts w:cs="Arial"/>
          <w:bCs/>
          <w:color w:val="000000"/>
        </w:rPr>
        <w:t xml:space="preserve">The frequency of monitoring visits, the type of visit (remote or onsite), the amount of source data review to be done, and the items to be reviewed are directly related to level of risk.  </w:t>
      </w:r>
    </w:p>
    <w:p w:rsidR="002F1762" w:rsidRPr="00FA2536" w:rsidP="002121BB" w14:paraId="391D1C25" w14:textId="61C80B37">
      <w:pPr>
        <w:pStyle w:val="1-PolicySectionlevel"/>
        <w:numPr>
          <w:ilvl w:val="2"/>
          <w:numId w:val="8"/>
        </w:numPr>
        <w:spacing w:before="120" w:after="120" w:line="276" w:lineRule="auto"/>
        <w:contextualSpacing w:val="0"/>
      </w:pPr>
      <w:r>
        <w:t>Low Ri</w:t>
      </w:r>
      <w:r w:rsidRPr="00FA2536">
        <w:t>sk Level</w:t>
      </w:r>
    </w:p>
    <w:p w:rsidR="002F1762" w:rsidRPr="007B76A8" w:rsidP="002121BB" w14:paraId="17045DAB" w14:textId="55334C48">
      <w:pPr>
        <w:pStyle w:val="ListParagraph"/>
        <w:pBdr>
          <w:top w:val="nil"/>
          <w:left w:val="nil"/>
          <w:bottom w:val="nil"/>
          <w:right w:val="nil"/>
          <w:between w:val="nil"/>
        </w:pBdr>
        <w:spacing w:before="120" w:after="120" w:line="276" w:lineRule="auto"/>
        <w:ind w:left="2160"/>
        <w:contextualSpacing w:val="0"/>
        <w:rPr>
          <w:rFonts w:cs="Arial"/>
          <w:bCs/>
          <w:color w:val="000000"/>
        </w:rPr>
      </w:pPr>
      <w:r w:rsidRPr="004F207A">
        <w:rPr>
          <w:rFonts w:cs="Arial"/>
          <w:bCs/>
          <w:color w:val="000000"/>
        </w:rPr>
        <w:t xml:space="preserve">For studies that are assessed to be </w:t>
      </w:r>
      <w:r w:rsidRPr="004F207A" w:rsidR="002B20F0">
        <w:rPr>
          <w:rFonts w:cs="Arial"/>
          <w:bCs/>
          <w:color w:val="000000"/>
        </w:rPr>
        <w:t>low risk, the Sponsor-Investigator may choose to submit an alternate plan for monitoring (</w:t>
      </w:r>
      <w:r w:rsidRPr="004F207A" w:rsidR="00B34EB9">
        <w:rPr>
          <w:rFonts w:cs="Arial"/>
          <w:bCs/>
          <w:color w:val="000000"/>
        </w:rPr>
        <w:t xml:space="preserve">see </w:t>
      </w:r>
      <w:r w:rsidRPr="00AB3E78" w:rsidR="00B34EB9">
        <w:rPr>
          <w:rFonts w:cs="Arial"/>
          <w:bCs/>
          <w:color w:val="000000"/>
        </w:rPr>
        <w:t>Alternative Plan for Monitoring</w:t>
      </w:r>
      <w:r w:rsidRPr="00AB3E78" w:rsidR="00AB3E78">
        <w:rPr>
          <w:rFonts w:cs="Arial"/>
          <w:bCs/>
          <w:color w:val="000000"/>
        </w:rPr>
        <w:t>-0509-Procedure</w:t>
      </w:r>
      <w:r w:rsidRPr="00AB3E78" w:rsidR="004F207A">
        <w:rPr>
          <w:rFonts w:cs="Arial"/>
          <w:bCs/>
          <w:color w:val="000000"/>
        </w:rPr>
        <w:t>)</w:t>
      </w:r>
      <w:r w:rsidR="00421B34">
        <w:rPr>
          <w:rFonts w:cs="Arial"/>
          <w:bCs/>
          <w:color w:val="000000"/>
        </w:rPr>
        <w:t xml:space="preserve"> or use YCCI</w:t>
      </w:r>
      <w:r w:rsidR="005C2626">
        <w:rPr>
          <w:rFonts w:cs="Arial"/>
          <w:bCs/>
          <w:color w:val="000000"/>
        </w:rPr>
        <w:t>-M.</w:t>
      </w:r>
    </w:p>
    <w:p w:rsidR="002F1762" w:rsidRPr="004F207A" w:rsidP="002F1762" w14:paraId="2E56CB62" w14:textId="61EC2765">
      <w:pPr>
        <w:pStyle w:val="1-PolicySectionlevel"/>
        <w:numPr>
          <w:ilvl w:val="2"/>
          <w:numId w:val="8"/>
        </w:numPr>
        <w:spacing w:before="120" w:after="120" w:line="276" w:lineRule="auto"/>
      </w:pPr>
      <w:r w:rsidRPr="004F207A">
        <w:t xml:space="preserve">Moderate </w:t>
      </w:r>
      <w:r w:rsidRPr="004F207A" w:rsidR="00EB09BA">
        <w:t xml:space="preserve">Risk </w:t>
      </w:r>
      <w:r w:rsidRPr="004F207A">
        <w:t>Level</w:t>
      </w:r>
    </w:p>
    <w:p w:rsidR="00403230" w:rsidRPr="00A1289D" w:rsidP="002121BB" w14:paraId="6B763AEE" w14:textId="77777777">
      <w:pPr>
        <w:pStyle w:val="ListParagraph"/>
        <w:spacing w:before="120" w:after="120"/>
        <w:ind w:left="2160"/>
        <w:contextualSpacing w:val="0"/>
        <w:jc w:val="both"/>
        <w:rPr>
          <w:rFonts w:cs="Arial"/>
        </w:rPr>
      </w:pPr>
      <w:r w:rsidRPr="00A1289D">
        <w:rPr>
          <w:rFonts w:cs="Arial"/>
        </w:rPr>
        <w:t>For projects that are assessed to be moderate risk, the following should be adjusted to appropriately meet the needs of the project:</w:t>
      </w:r>
    </w:p>
    <w:p w:rsidR="00403230" w:rsidRPr="00A1289D" w:rsidP="002121BB" w14:paraId="31BFBEFD" w14:textId="77777777">
      <w:pPr>
        <w:pStyle w:val="ListParagraph"/>
        <w:numPr>
          <w:ilvl w:val="0"/>
          <w:numId w:val="40"/>
        </w:numPr>
        <w:spacing w:before="0" w:after="0" w:line="276" w:lineRule="auto"/>
        <w:contextualSpacing w:val="0"/>
        <w:jc w:val="both"/>
        <w:rPr>
          <w:rFonts w:cs="Arial"/>
        </w:rPr>
      </w:pPr>
      <w:r w:rsidRPr="00A1289D">
        <w:rPr>
          <w:rFonts w:cs="Arial"/>
        </w:rPr>
        <w:t>Frequency of monitoring visits</w:t>
      </w:r>
    </w:p>
    <w:p w:rsidR="00403230" w:rsidRPr="00A1289D" w:rsidP="002121BB" w14:paraId="240EB393" w14:textId="77777777">
      <w:pPr>
        <w:pStyle w:val="ListParagraph"/>
        <w:numPr>
          <w:ilvl w:val="0"/>
          <w:numId w:val="40"/>
        </w:numPr>
        <w:spacing w:before="0" w:after="0" w:line="276" w:lineRule="auto"/>
        <w:contextualSpacing w:val="0"/>
        <w:jc w:val="both"/>
        <w:rPr>
          <w:rFonts w:cs="Arial"/>
        </w:rPr>
      </w:pPr>
      <w:r w:rsidRPr="00A1289D">
        <w:rPr>
          <w:rFonts w:cs="Arial"/>
        </w:rPr>
        <w:t>% of source data verification to be completed</w:t>
      </w:r>
    </w:p>
    <w:p w:rsidR="002B20F0" w:rsidRPr="007B76A8" w:rsidP="002121BB" w14:paraId="1C91FC23" w14:textId="28D797DF">
      <w:pPr>
        <w:pStyle w:val="ListParagraph"/>
        <w:numPr>
          <w:ilvl w:val="0"/>
          <w:numId w:val="40"/>
        </w:numPr>
        <w:spacing w:before="0" w:after="0" w:line="276" w:lineRule="auto"/>
        <w:contextualSpacing w:val="0"/>
        <w:jc w:val="both"/>
        <w:rPr>
          <w:rFonts w:cs="Arial"/>
        </w:rPr>
      </w:pPr>
      <w:r w:rsidRPr="00A1289D">
        <w:rPr>
          <w:rFonts w:cs="Arial"/>
        </w:rPr>
        <w:t xml:space="preserve">Number of planned monitoring visits </w:t>
      </w:r>
    </w:p>
    <w:p w:rsidR="002F1762" w:rsidRPr="00FA2536" w:rsidP="002F1762" w14:paraId="6025920E" w14:textId="19E56E66">
      <w:pPr>
        <w:pStyle w:val="1-PolicySectionlevel"/>
        <w:numPr>
          <w:ilvl w:val="2"/>
          <w:numId w:val="8"/>
        </w:numPr>
        <w:spacing w:before="120" w:after="120" w:line="276" w:lineRule="auto"/>
      </w:pPr>
      <w:r>
        <w:t xml:space="preserve">High </w:t>
      </w:r>
      <w:r w:rsidRPr="00FA2536">
        <w:t>Risk Level</w:t>
      </w:r>
    </w:p>
    <w:p w:rsidR="00B33E87" w:rsidRPr="002121BB" w:rsidP="002121BB" w14:paraId="2C1BB570" w14:textId="19E09738">
      <w:pPr>
        <w:pStyle w:val="ListParagraph"/>
        <w:pBdr>
          <w:top w:val="nil"/>
          <w:left w:val="nil"/>
          <w:bottom w:val="nil"/>
          <w:right w:val="nil"/>
          <w:between w:val="nil"/>
        </w:pBdr>
        <w:spacing w:before="120" w:after="120" w:line="276" w:lineRule="auto"/>
        <w:ind w:left="2160"/>
        <w:contextualSpacing w:val="0"/>
        <w:rPr>
          <w:rFonts w:cs="Arial"/>
          <w:bCs/>
          <w:color w:val="000000"/>
        </w:rPr>
      </w:pPr>
      <w:r w:rsidRPr="0296C1C4" w:rsidR="0296C1C4">
        <w:rPr>
          <w:rFonts w:cs="Arial"/>
          <w:color w:val="000000" w:themeColor="text1" w:themeShade="FF" w:themeTint="FF"/>
        </w:rPr>
        <w:t xml:space="preserve">Using the IRB approved protocol and planned case report forms, a study specific clinical monitoring plan is drafted for each project.  The clinical monitoring plan will map out the planned visits and the data to be reviewed.  </w:t>
      </w:r>
    </w:p>
    <w:p w:rsidR="0296C1C4" w:rsidP="0296C1C4" w14:paraId="1382EFDB" w14:textId="7CB3A3B6">
      <w:pPr>
        <w:pStyle w:val="ListParagraph"/>
        <w:pBdr>
          <w:top w:val="nil"/>
          <w:left w:val="nil"/>
          <w:bottom w:val="nil"/>
          <w:right w:val="nil"/>
          <w:between w:val="nil"/>
        </w:pBdr>
        <w:spacing w:after="0" w:line="276" w:lineRule="auto"/>
        <w:ind w:left="2160"/>
        <w:rPr>
          <w:rFonts w:cs="Arial"/>
          <w:color w:val="000000" w:themeColor="text1" w:themeShade="FF" w:themeTint="FF"/>
        </w:rPr>
      </w:pPr>
    </w:p>
    <w:p w:rsidR="00403230" w:rsidP="002121BB" w14:paraId="0AD354E5" w14:textId="77D7874E">
      <w:pPr>
        <w:pStyle w:val="ListParagraph"/>
        <w:pBdr>
          <w:top w:val="nil"/>
          <w:left w:val="nil"/>
          <w:bottom w:val="nil"/>
          <w:right w:val="nil"/>
          <w:between w:val="nil"/>
        </w:pBdr>
        <w:spacing w:after="0" w:line="276" w:lineRule="auto"/>
        <w:ind w:left="2160"/>
        <w:rPr>
          <w:rFonts w:cs="Arial"/>
        </w:rPr>
      </w:pPr>
      <w:r w:rsidRPr="00A1289D">
        <w:rPr>
          <w:rFonts w:cs="Arial"/>
          <w:bCs/>
          <w:color w:val="000000"/>
        </w:rPr>
        <w:t>After each monitoring visit the findings identified with be assessed to determine if the current clinical monitoring plan is sufficient or an adjustment should be made</w:t>
      </w:r>
      <w:r w:rsidRPr="00A1289D" w:rsidR="00B33E87">
        <w:rPr>
          <w:rFonts w:cs="Arial"/>
          <w:bCs/>
          <w:color w:val="000000"/>
        </w:rPr>
        <w:t xml:space="preserve">.  </w:t>
      </w:r>
      <w:r w:rsidRPr="00A1289D">
        <w:rPr>
          <w:rFonts w:cs="Arial"/>
        </w:rPr>
        <w:t xml:space="preserve">The following items may constitute possible cause for reassessment of the planned monitoring strategy: </w:t>
      </w:r>
    </w:p>
    <w:p w:rsidR="00642E5E" w:rsidRPr="00A1289D" w:rsidP="00EB09BA" w14:paraId="2EBF9460" w14:textId="77777777">
      <w:pPr>
        <w:pStyle w:val="ListParagraph"/>
        <w:pBdr>
          <w:top w:val="nil"/>
          <w:left w:val="nil"/>
          <w:bottom w:val="nil"/>
          <w:right w:val="nil"/>
          <w:between w:val="nil"/>
        </w:pBdr>
        <w:spacing w:after="0"/>
        <w:ind w:left="2160"/>
        <w:rPr>
          <w:rFonts w:cs="Arial"/>
          <w:color w:val="00B050"/>
        </w:rPr>
      </w:pPr>
    </w:p>
    <w:p w:rsidR="00403230" w:rsidRPr="00A1289D" w:rsidP="002121BB" w14:paraId="686C8DC3" w14:textId="77777777">
      <w:pPr>
        <w:pStyle w:val="ListParagraph"/>
        <w:numPr>
          <w:ilvl w:val="0"/>
          <w:numId w:val="37"/>
        </w:numPr>
        <w:spacing w:before="0" w:after="0" w:line="276" w:lineRule="auto"/>
        <w:ind w:left="2880"/>
        <w:contextualSpacing w:val="0"/>
        <w:jc w:val="both"/>
        <w:rPr>
          <w:rFonts w:cs="Arial"/>
        </w:rPr>
      </w:pPr>
      <w:r w:rsidRPr="00A1289D">
        <w:rPr>
          <w:rFonts w:cs="Arial"/>
        </w:rPr>
        <w:t>Identification of issues that may impact the rights and/or safety of participants on the study</w:t>
      </w:r>
    </w:p>
    <w:p w:rsidR="00403230" w:rsidRPr="00A1289D" w:rsidP="002121BB" w14:paraId="27875100" w14:textId="77777777">
      <w:pPr>
        <w:pStyle w:val="BodyText"/>
        <w:numPr>
          <w:ilvl w:val="0"/>
          <w:numId w:val="37"/>
        </w:numPr>
        <w:tabs>
          <w:tab w:val="left" w:pos="360"/>
        </w:tabs>
        <w:spacing w:before="0" w:after="0" w:line="276" w:lineRule="auto"/>
        <w:ind w:left="2880"/>
        <w:contextualSpacing w:val="0"/>
        <w:jc w:val="both"/>
        <w:rPr>
          <w:rFonts w:cs="Arial"/>
        </w:rPr>
      </w:pPr>
      <w:r w:rsidRPr="00A1289D">
        <w:rPr>
          <w:rFonts w:cs="Arial"/>
        </w:rPr>
        <w:t>Data accuracy/completion issues that may impact data integrity</w:t>
      </w:r>
    </w:p>
    <w:p w:rsidR="00403230" w:rsidRPr="00A1289D" w:rsidP="002121BB" w14:paraId="0D3B3AB4" w14:textId="77777777">
      <w:pPr>
        <w:pStyle w:val="BodyText"/>
        <w:numPr>
          <w:ilvl w:val="0"/>
          <w:numId w:val="37"/>
        </w:numPr>
        <w:tabs>
          <w:tab w:val="left" w:pos="360"/>
        </w:tabs>
        <w:spacing w:before="0" w:after="0" w:line="276" w:lineRule="auto"/>
        <w:ind w:left="2880"/>
        <w:contextualSpacing w:val="0"/>
        <w:jc w:val="both"/>
        <w:rPr>
          <w:rFonts w:cs="Arial"/>
        </w:rPr>
      </w:pPr>
      <w:r w:rsidRPr="00A1289D">
        <w:rPr>
          <w:rFonts w:cs="Arial"/>
        </w:rPr>
        <w:t>Protocol adherence indicators (deviations, unanticipated problems)</w:t>
      </w:r>
    </w:p>
    <w:p w:rsidR="00403230" w:rsidRPr="00A1289D" w:rsidP="002121BB" w14:paraId="3447CCBB" w14:textId="77777777">
      <w:pPr>
        <w:pStyle w:val="BodyText"/>
        <w:numPr>
          <w:ilvl w:val="0"/>
          <w:numId w:val="37"/>
        </w:numPr>
        <w:tabs>
          <w:tab w:val="left" w:pos="360"/>
        </w:tabs>
        <w:spacing w:before="0" w:after="0" w:line="276" w:lineRule="auto"/>
        <w:ind w:left="2880"/>
        <w:contextualSpacing w:val="0"/>
        <w:jc w:val="both"/>
        <w:rPr>
          <w:rFonts w:cs="Arial"/>
        </w:rPr>
      </w:pPr>
      <w:r w:rsidRPr="00A1289D">
        <w:rPr>
          <w:rFonts w:cs="Arial"/>
        </w:rPr>
        <w:t xml:space="preserve">Unusual rate of enrollment </w:t>
      </w:r>
    </w:p>
    <w:p w:rsidR="00403230" w:rsidRPr="00A1289D" w:rsidP="002121BB" w14:paraId="4185E465" w14:textId="77777777">
      <w:pPr>
        <w:pStyle w:val="BodyText"/>
        <w:numPr>
          <w:ilvl w:val="0"/>
          <w:numId w:val="37"/>
        </w:numPr>
        <w:tabs>
          <w:tab w:val="left" w:pos="360"/>
        </w:tabs>
        <w:spacing w:before="0" w:after="0" w:line="276" w:lineRule="auto"/>
        <w:ind w:left="2880"/>
        <w:contextualSpacing w:val="0"/>
        <w:jc w:val="both"/>
        <w:rPr>
          <w:rFonts w:cs="Arial"/>
        </w:rPr>
      </w:pPr>
      <w:r w:rsidRPr="00A1289D">
        <w:rPr>
          <w:rFonts w:cs="Arial"/>
        </w:rPr>
        <w:t xml:space="preserve">Lack of adequate maintenance of regulatory documentation </w:t>
      </w:r>
    </w:p>
    <w:p w:rsidR="00403230" w:rsidRPr="00A1289D" w:rsidP="002121BB" w14:paraId="4897D4F3" w14:textId="77777777">
      <w:pPr>
        <w:pStyle w:val="BodyText"/>
        <w:numPr>
          <w:ilvl w:val="0"/>
          <w:numId w:val="37"/>
        </w:numPr>
        <w:tabs>
          <w:tab w:val="left" w:pos="360"/>
        </w:tabs>
        <w:spacing w:before="0" w:after="0" w:line="276" w:lineRule="auto"/>
        <w:ind w:left="2880"/>
        <w:contextualSpacing w:val="0"/>
        <w:jc w:val="both"/>
        <w:rPr>
          <w:rFonts w:cs="Arial"/>
        </w:rPr>
      </w:pPr>
      <w:r w:rsidRPr="00A1289D">
        <w:rPr>
          <w:rFonts w:cs="Arial"/>
        </w:rPr>
        <w:t>Identification of new risks</w:t>
      </w:r>
    </w:p>
    <w:p w:rsidR="00403230" w:rsidRPr="00A1289D" w:rsidP="002121BB" w14:paraId="03D15B74" w14:textId="77777777">
      <w:pPr>
        <w:pStyle w:val="BodyText"/>
        <w:numPr>
          <w:ilvl w:val="0"/>
          <w:numId w:val="37"/>
        </w:numPr>
        <w:tabs>
          <w:tab w:val="left" w:pos="360"/>
        </w:tabs>
        <w:spacing w:before="0" w:after="0" w:line="276" w:lineRule="auto"/>
        <w:ind w:left="2880"/>
        <w:contextualSpacing w:val="0"/>
        <w:jc w:val="both"/>
        <w:rPr>
          <w:rFonts w:cs="Arial"/>
        </w:rPr>
      </w:pPr>
      <w:r w:rsidRPr="00A1289D">
        <w:rPr>
          <w:rFonts w:cs="Arial"/>
        </w:rPr>
        <w:t xml:space="preserve">Failure to respond to requests for outstanding documentation and/or subject information </w:t>
      </w:r>
    </w:p>
    <w:p w:rsidR="00403230" w:rsidRPr="00A1289D" w:rsidP="002121BB" w14:paraId="11AE1735" w14:textId="77777777">
      <w:pPr>
        <w:pStyle w:val="BodyText"/>
        <w:numPr>
          <w:ilvl w:val="0"/>
          <w:numId w:val="37"/>
        </w:numPr>
        <w:tabs>
          <w:tab w:val="left" w:pos="360"/>
        </w:tabs>
        <w:spacing w:before="0" w:after="0" w:line="276" w:lineRule="auto"/>
        <w:ind w:left="2880"/>
        <w:contextualSpacing w:val="0"/>
        <w:jc w:val="both"/>
        <w:rPr>
          <w:rFonts w:cs="Arial"/>
        </w:rPr>
      </w:pPr>
      <w:r w:rsidRPr="00A1289D">
        <w:rPr>
          <w:rFonts w:cs="Arial"/>
        </w:rPr>
        <w:t xml:space="preserve">Unanticipated staffing changes </w:t>
      </w:r>
    </w:p>
    <w:p w:rsidR="00403230" w:rsidRPr="00A1289D" w:rsidP="002121BB" w14:paraId="5EBD0A38" w14:textId="77777777">
      <w:pPr>
        <w:pStyle w:val="BodyText"/>
        <w:numPr>
          <w:ilvl w:val="0"/>
          <w:numId w:val="37"/>
        </w:numPr>
        <w:tabs>
          <w:tab w:val="left" w:pos="360"/>
        </w:tabs>
        <w:spacing w:before="0" w:after="0" w:line="276" w:lineRule="auto"/>
        <w:ind w:left="2880"/>
        <w:contextualSpacing w:val="0"/>
        <w:jc w:val="both"/>
        <w:rPr>
          <w:rFonts w:cs="Arial"/>
        </w:rPr>
      </w:pPr>
      <w:r w:rsidRPr="00A1289D">
        <w:rPr>
          <w:rFonts w:cs="Arial"/>
        </w:rPr>
        <w:t xml:space="preserve">Failure to report significant issues to appropriate parties </w:t>
      </w:r>
    </w:p>
    <w:p w:rsidR="00403230" w:rsidRPr="00A1289D" w:rsidP="002121BB" w14:paraId="153DE881" w14:textId="77777777">
      <w:pPr>
        <w:pStyle w:val="BodyText"/>
        <w:numPr>
          <w:ilvl w:val="0"/>
          <w:numId w:val="37"/>
        </w:numPr>
        <w:tabs>
          <w:tab w:val="left" w:pos="360"/>
        </w:tabs>
        <w:spacing w:before="0" w:after="0" w:line="276" w:lineRule="auto"/>
        <w:ind w:left="2880"/>
        <w:contextualSpacing w:val="0"/>
        <w:jc w:val="both"/>
        <w:rPr>
          <w:rFonts w:cs="Arial"/>
        </w:rPr>
      </w:pPr>
      <w:r w:rsidRPr="00A1289D">
        <w:rPr>
          <w:rFonts w:cs="Arial"/>
        </w:rPr>
        <w:t>Outcome of audit or DSMB report</w:t>
      </w:r>
    </w:p>
    <w:p w:rsidR="00C733E7" w:rsidRPr="00DC67C1" w:rsidP="002121BB" w14:paraId="51BA9200" w14:textId="6A3EE763">
      <w:pPr>
        <w:pStyle w:val="ListParagraph"/>
        <w:pBdr>
          <w:top w:val="nil"/>
          <w:left w:val="nil"/>
          <w:bottom w:val="nil"/>
          <w:right w:val="nil"/>
          <w:between w:val="nil"/>
        </w:pBdr>
        <w:spacing w:before="120" w:after="120" w:line="276" w:lineRule="auto"/>
        <w:ind w:left="2160"/>
        <w:contextualSpacing w:val="0"/>
        <w:rPr>
          <w:rFonts w:cs="Arial"/>
          <w:bCs/>
          <w:color w:val="000000"/>
        </w:rPr>
      </w:pPr>
      <w:r w:rsidRPr="00A1289D">
        <w:rPr>
          <w:rFonts w:cs="Arial"/>
          <w:bCs/>
          <w:color w:val="000000"/>
        </w:rPr>
        <w:t xml:space="preserve">If issues are identified during any visit that identify potential risk to subjects, data integrity or noncompliance, the frequency, format and volume of source to be reviewed can be adjusted to ensure adequate monitoring of the project.  </w:t>
      </w:r>
    </w:p>
    <w:p w:rsidR="0079469D" w:rsidRPr="00132948" w:rsidP="00EE0256" w14:paraId="4972DEA3" w14:textId="74623068">
      <w:pPr>
        <w:pStyle w:val="1-PolicySectionlevel"/>
        <w:keepNext/>
        <w:numPr>
          <w:ilvl w:val="1"/>
          <w:numId w:val="8"/>
        </w:numPr>
        <w:spacing w:before="120" w:after="120"/>
        <w:ind w:left="994"/>
        <w:rPr>
          <w:rFonts w:cs="Arial"/>
          <w:color w:val="000000"/>
        </w:rPr>
      </w:pPr>
      <w:r>
        <w:t xml:space="preserve">Clinical Monitoring Plans </w:t>
      </w:r>
    </w:p>
    <w:p w:rsidR="002017BC" w:rsidP="002017BC" w14:paraId="10711120" w14:textId="77777777">
      <w:pPr>
        <w:pStyle w:val="ListParagraph"/>
        <w:pBdr>
          <w:top w:val="nil"/>
          <w:left w:val="nil"/>
          <w:bottom w:val="nil"/>
          <w:right w:val="nil"/>
          <w:between w:val="nil"/>
        </w:pBdr>
        <w:spacing w:before="0" w:after="0" w:line="276" w:lineRule="auto"/>
        <w:ind w:left="994"/>
        <w:contextualSpacing w:val="0"/>
        <w:rPr>
          <w:rFonts w:cs="Arial"/>
          <w:bCs/>
          <w:color w:val="000000"/>
        </w:rPr>
      </w:pPr>
      <w:r w:rsidRPr="00A1289D">
        <w:rPr>
          <w:rFonts w:cs="Arial"/>
          <w:bCs/>
          <w:color w:val="000000"/>
        </w:rPr>
        <w:t>Each monitoring plan includes an escalation</w:t>
      </w:r>
      <w:r>
        <w:rPr>
          <w:rFonts w:cs="Arial"/>
          <w:bCs/>
          <w:color w:val="000000"/>
        </w:rPr>
        <w:t xml:space="preserve"> plan to be followed if issues that should be followed if an adjustment to the monitoring plan does not resolve issues identified during monitoring.  </w:t>
      </w:r>
    </w:p>
    <w:p w:rsidR="002017BC" w:rsidP="002017BC" w14:paraId="194042A4" w14:textId="77777777">
      <w:pPr>
        <w:pStyle w:val="ListParagraph"/>
        <w:pBdr>
          <w:top w:val="nil"/>
          <w:left w:val="nil"/>
          <w:bottom w:val="nil"/>
          <w:right w:val="nil"/>
          <w:between w:val="nil"/>
        </w:pBdr>
        <w:spacing w:before="0" w:after="0" w:line="276" w:lineRule="auto"/>
        <w:ind w:left="994"/>
        <w:contextualSpacing w:val="0"/>
        <w:rPr>
          <w:rFonts w:cs="Arial"/>
          <w:bCs/>
          <w:color w:val="000000"/>
        </w:rPr>
      </w:pPr>
    </w:p>
    <w:p w:rsidR="00CF727E" w:rsidRPr="002017BC" w:rsidP="002017BC" w14:paraId="535C38C8" w14:textId="5CAAA31C">
      <w:pPr>
        <w:pStyle w:val="ListParagraph"/>
        <w:pBdr>
          <w:top w:val="nil"/>
          <w:left w:val="nil"/>
          <w:bottom w:val="nil"/>
          <w:right w:val="nil"/>
          <w:between w:val="nil"/>
        </w:pBdr>
        <w:spacing w:before="0" w:after="0" w:line="276" w:lineRule="auto"/>
        <w:ind w:left="994"/>
        <w:contextualSpacing w:val="0"/>
        <w:rPr>
          <w:rFonts w:cs="Arial"/>
          <w:bCs/>
          <w:color w:val="000000"/>
        </w:rPr>
      </w:pPr>
      <w:r w:rsidRPr="002017BC">
        <w:rPr>
          <w:rFonts w:cs="Arial"/>
          <w:bCs/>
          <w:color w:val="000000"/>
        </w:rPr>
        <w:t>This risk-base</w:t>
      </w:r>
      <w:r w:rsidRPr="002017BC" w:rsidR="002017BC">
        <w:rPr>
          <w:rFonts w:cs="Arial"/>
          <w:bCs/>
          <w:color w:val="000000"/>
        </w:rPr>
        <w:t>d</w:t>
      </w:r>
      <w:r w:rsidRPr="002017BC">
        <w:rPr>
          <w:rFonts w:cs="Arial"/>
          <w:bCs/>
          <w:color w:val="000000"/>
        </w:rPr>
        <w:t xml:space="preserve"> approach to monitoring will be used for all projects where a YCCI Monitor is responsible for conducting the monitoring activities.</w:t>
      </w:r>
    </w:p>
    <w:p w:rsidR="002017BC" w:rsidP="002017BC" w14:paraId="019F4FC8" w14:textId="77777777">
      <w:pPr>
        <w:pStyle w:val="ListParagraph"/>
        <w:pBdr>
          <w:top w:val="nil"/>
          <w:left w:val="nil"/>
          <w:bottom w:val="nil"/>
          <w:right w:val="nil"/>
          <w:between w:val="nil"/>
        </w:pBdr>
        <w:spacing w:before="0" w:after="0" w:line="276" w:lineRule="auto"/>
        <w:ind w:left="994"/>
        <w:contextualSpacing w:val="0"/>
        <w:rPr>
          <w:rFonts w:cs="Arial"/>
          <w:bCs/>
          <w:color w:val="000000"/>
        </w:rPr>
      </w:pPr>
    </w:p>
    <w:p w:rsidR="00FB3D1F" w:rsidRPr="00343231" w:rsidP="002017BC" w14:paraId="644EC118" w14:textId="51493C68">
      <w:pPr>
        <w:pStyle w:val="ListParagraph"/>
        <w:pBdr>
          <w:top w:val="nil"/>
          <w:left w:val="nil"/>
          <w:bottom w:val="nil"/>
          <w:right w:val="nil"/>
          <w:between w:val="nil"/>
        </w:pBdr>
        <w:spacing w:before="0" w:after="0" w:line="276" w:lineRule="auto"/>
        <w:ind w:left="994"/>
        <w:contextualSpacing w:val="0"/>
        <w:rPr>
          <w:rFonts w:cs="Arial"/>
          <w:bCs/>
          <w:color w:val="000000"/>
        </w:rPr>
      </w:pPr>
      <w:r w:rsidRPr="00FB3D1F">
        <w:rPr>
          <w:rFonts w:cs="Arial"/>
          <w:bCs/>
          <w:color w:val="000000"/>
        </w:rPr>
        <w:t>For both moderate and low risk tiers, a Yale Sponsor-Investigator could opt to increase level of monitoring.  Requests to lower support will not be considered unless an IRB approved amendment to the protocol would indicate a reevaluation of risk as appropriate</w:t>
      </w:r>
    </w:p>
    <w:p w:rsidR="002017BC" w:rsidP="002017BC" w14:paraId="217D044E" w14:textId="77777777">
      <w:pPr>
        <w:pStyle w:val="ListParagraph"/>
        <w:pBdr>
          <w:top w:val="nil"/>
          <w:left w:val="nil"/>
          <w:bottom w:val="nil"/>
          <w:right w:val="nil"/>
          <w:between w:val="nil"/>
        </w:pBdr>
        <w:spacing w:before="0" w:after="0" w:line="276" w:lineRule="auto"/>
        <w:ind w:left="994"/>
        <w:contextualSpacing w:val="0"/>
        <w:rPr>
          <w:rFonts w:cs="Arial"/>
          <w:bCs/>
          <w:color w:val="000000"/>
        </w:rPr>
      </w:pPr>
    </w:p>
    <w:p w:rsidR="003E5697" w:rsidRPr="00DC67C1" w:rsidP="002017BC" w14:paraId="06CB0BB0" w14:textId="57C451A5">
      <w:pPr>
        <w:pStyle w:val="ListParagraph"/>
        <w:pBdr>
          <w:top w:val="nil"/>
          <w:left w:val="nil"/>
          <w:bottom w:val="nil"/>
          <w:right w:val="nil"/>
          <w:between w:val="nil"/>
        </w:pBdr>
        <w:spacing w:before="0" w:after="0" w:line="276" w:lineRule="auto"/>
        <w:ind w:left="994"/>
        <w:contextualSpacing w:val="0"/>
        <w:rPr>
          <w:rFonts w:cs="Arial"/>
          <w:bCs/>
          <w:color w:val="000000"/>
        </w:rPr>
      </w:pPr>
      <w:r w:rsidRPr="00A1289D">
        <w:rPr>
          <w:rFonts w:cs="Arial"/>
          <w:bCs/>
          <w:color w:val="000000"/>
        </w:rPr>
        <w:t xml:space="preserve">When planning the risk-based support for each study, the frequency and timing of Interim Monitoring Visits (IMVs) may be mapped using either </w:t>
      </w:r>
      <w:r w:rsidRPr="00A1289D">
        <w:rPr>
          <w:rFonts w:cs="Arial"/>
          <w:bCs/>
          <w:color w:val="000000"/>
        </w:rPr>
        <w:t>time-based or accrual-based milestones.</w:t>
      </w:r>
    </w:p>
    <w:p w:rsidR="006E1779" w:rsidRPr="00B033B9" w:rsidP="00F74E77" w14:paraId="44583453" w14:textId="2C28575A">
      <w:pPr>
        <w:pStyle w:val="1-PolicySectionlevel"/>
        <w:numPr>
          <w:ilvl w:val="1"/>
          <w:numId w:val="8"/>
        </w:numPr>
        <w:spacing w:before="120" w:after="120"/>
        <w:contextualSpacing w:val="0"/>
      </w:pPr>
      <w:r w:rsidRPr="00B033B9">
        <w:t>Training</w:t>
      </w:r>
    </w:p>
    <w:p w:rsidR="00E2105A" w:rsidRPr="006E1779" w:rsidP="00E2105A" w14:paraId="33C27707" w14:textId="68BD5FA9">
      <w:pPr>
        <w:pStyle w:val="BodyText"/>
        <w:spacing w:before="120" w:after="240"/>
        <w:ind w:left="990"/>
        <w:contextualSpacing w:val="0"/>
      </w:pPr>
      <w:r w:rsidRPr="00FA60B4">
        <w:t>All responsible personnel listed within this SOP will receive training appropriate to their role and level of responsibility.</w:t>
      </w:r>
    </w:p>
    <w:bookmarkEnd w:id="3"/>
    <w:p w:rsidR="004E594B" w:rsidRPr="00CD2820" w:rsidP="00B033B9" w14:paraId="60EFCAD6" w14:textId="0FF9C2D8">
      <w:pPr>
        <w:pStyle w:val="SectionHeading"/>
        <w:numPr>
          <w:ilvl w:val="0"/>
          <w:numId w:val="8"/>
        </w:numPr>
        <w:spacing w:before="240" w:after="240"/>
        <w:ind w:left="720" w:hanging="720"/>
        <w:rPr>
          <w:color w:val="365F91" w:themeColor="accent1" w:themeShade="BF"/>
          <w:sz w:val="28"/>
          <w:szCs w:val="28"/>
        </w:rPr>
      </w:pPr>
      <w:r w:rsidRPr="00CD2820">
        <w:rPr>
          <w:color w:val="365F91" w:themeColor="accent1" w:themeShade="BF"/>
          <w:sz w:val="28"/>
          <w:szCs w:val="28"/>
        </w:rPr>
        <w:t>R</w:t>
      </w:r>
      <w:r w:rsidRPr="00CD2820" w:rsidR="00CA2A20">
        <w:rPr>
          <w:color w:val="365F91" w:themeColor="accent1" w:themeShade="BF"/>
          <w:sz w:val="28"/>
          <w:szCs w:val="28"/>
        </w:rPr>
        <w:t>oles and Responsibilities</w:t>
      </w:r>
    </w:p>
    <w:p w:rsidR="004E594B" w:rsidP="00A2506C" w14:paraId="6A455AFE" w14:textId="055E131E">
      <w:pPr>
        <w:pStyle w:val="BodyText"/>
        <w:numPr>
          <w:ilvl w:val="0"/>
          <w:numId w:val="10"/>
        </w:numPr>
        <w:spacing w:line="276" w:lineRule="auto"/>
        <w:ind w:left="1080"/>
        <w:jc w:val="both"/>
        <w:rPr>
          <w:rFonts w:cs="Arial"/>
        </w:rPr>
      </w:pPr>
      <w:r w:rsidRPr="00267874">
        <w:rPr>
          <w:rFonts w:cs="Arial"/>
        </w:rPr>
        <w:t>Principal Investigator (PI)</w:t>
      </w:r>
      <w:r>
        <w:rPr>
          <w:rFonts w:cs="Arial"/>
        </w:rPr>
        <w:t>: The PI</w:t>
      </w:r>
      <w:r w:rsidRPr="00267874">
        <w:rPr>
          <w:rFonts w:cs="Arial"/>
        </w:rPr>
        <w:t xml:space="preserve"> is ultimately accountable for all clinical research activities and is responsible for the appropriate delegation of tasks to individuals with adequate training and education to perform such tasks. The PI ensures that a project is carried out in compliance with </w:t>
      </w:r>
      <w:r>
        <w:rPr>
          <w:rFonts w:cs="Arial"/>
        </w:rPr>
        <w:t xml:space="preserve">GCP and </w:t>
      </w:r>
      <w:r w:rsidR="00BE6712">
        <w:rPr>
          <w:rFonts w:cs="Arial"/>
        </w:rPr>
        <w:t xml:space="preserve">Yale policies and </w:t>
      </w:r>
      <w:r w:rsidR="003E7E75">
        <w:rPr>
          <w:rFonts w:cs="Arial"/>
        </w:rPr>
        <w:t>applicable governing regulations.</w:t>
      </w:r>
      <w:r w:rsidRPr="00267874">
        <w:rPr>
          <w:rFonts w:cs="Arial"/>
        </w:rPr>
        <w:t xml:space="preserve"> </w:t>
      </w:r>
    </w:p>
    <w:p w:rsidR="004E594B" w:rsidP="004E594B" w14:paraId="01C0A7A8" w14:textId="77777777">
      <w:pPr>
        <w:pStyle w:val="BodyText"/>
        <w:spacing w:line="276" w:lineRule="auto"/>
        <w:ind w:left="1080"/>
        <w:jc w:val="both"/>
        <w:rPr>
          <w:rFonts w:cs="Arial"/>
        </w:rPr>
      </w:pPr>
    </w:p>
    <w:p w:rsidR="004E594B" w:rsidP="004E594B" w14:paraId="56EC824A" w14:textId="5850C68F">
      <w:pPr>
        <w:pStyle w:val="BodyText"/>
        <w:spacing w:line="276" w:lineRule="auto"/>
        <w:ind w:left="1080"/>
        <w:rPr>
          <w:rFonts w:cs="Arial"/>
        </w:rPr>
      </w:pPr>
      <w:r w:rsidRPr="00267874">
        <w:rPr>
          <w:rFonts w:cs="Arial"/>
        </w:rPr>
        <w:t xml:space="preserve">The PI may delegate </w:t>
      </w:r>
      <w:r w:rsidR="006A5839">
        <w:rPr>
          <w:rFonts w:cs="Arial"/>
        </w:rPr>
        <w:t>study duties</w:t>
      </w:r>
      <w:r w:rsidRPr="00267874">
        <w:rPr>
          <w:rFonts w:cs="Arial"/>
        </w:rPr>
        <w:t xml:space="preserve"> to research personnel; however, the </w:t>
      </w:r>
      <w:r w:rsidR="006A5839">
        <w:rPr>
          <w:rFonts w:cs="Arial"/>
        </w:rPr>
        <w:t xml:space="preserve">PI </w:t>
      </w:r>
      <w:r w:rsidR="006B6F62">
        <w:rPr>
          <w:rFonts w:cs="Arial"/>
        </w:rPr>
        <w:t>has</w:t>
      </w:r>
      <w:r w:rsidR="006A5839">
        <w:rPr>
          <w:rFonts w:cs="Arial"/>
        </w:rPr>
        <w:t xml:space="preserve"> </w:t>
      </w:r>
      <w:r w:rsidRPr="00267874">
        <w:rPr>
          <w:rFonts w:cs="Arial"/>
        </w:rPr>
        <w:t>ultimate responsibility for management of the project</w:t>
      </w:r>
      <w:r w:rsidR="003A35B5">
        <w:rPr>
          <w:rFonts w:cs="Arial"/>
        </w:rPr>
        <w:t xml:space="preserve"> and ensuring appropriately experienced and trained staff are delegated.</w:t>
      </w:r>
    </w:p>
    <w:p w:rsidR="004E594B" w:rsidP="004E594B" w14:paraId="4A4F3BCF" w14:textId="77777777">
      <w:pPr>
        <w:pStyle w:val="BodyText"/>
        <w:spacing w:line="276" w:lineRule="auto"/>
        <w:ind w:left="720"/>
        <w:jc w:val="both"/>
        <w:rPr>
          <w:rFonts w:cs="Arial"/>
        </w:rPr>
      </w:pPr>
    </w:p>
    <w:p w:rsidR="004A0E6E" w:rsidP="00A2506C" w14:paraId="45BE02C9" w14:textId="1847A9E8">
      <w:pPr>
        <w:pStyle w:val="BodyText"/>
        <w:numPr>
          <w:ilvl w:val="0"/>
          <w:numId w:val="10"/>
        </w:numPr>
        <w:spacing w:line="276" w:lineRule="auto"/>
        <w:ind w:left="1080"/>
        <w:rPr>
          <w:rFonts w:cs="Arial"/>
        </w:rPr>
      </w:pPr>
      <w:r>
        <w:rPr>
          <w:rFonts w:cs="Arial"/>
        </w:rPr>
        <w:t>Sub</w:t>
      </w:r>
      <w:r w:rsidRPr="00491760">
        <w:rPr>
          <w:rFonts w:cs="Arial"/>
        </w:rPr>
        <w:t xml:space="preserve">-investigators and </w:t>
      </w:r>
      <w:r w:rsidR="003A35B5">
        <w:rPr>
          <w:rFonts w:cs="Arial"/>
        </w:rPr>
        <w:t>appropriately</w:t>
      </w:r>
      <w:r w:rsidRPr="00491760">
        <w:rPr>
          <w:rFonts w:cs="Arial"/>
        </w:rPr>
        <w:t xml:space="preserve"> qualified study personnel</w:t>
      </w:r>
      <w:r>
        <w:rPr>
          <w:rFonts w:cs="Arial"/>
        </w:rPr>
        <w:t xml:space="preserve"> </w:t>
      </w:r>
      <w:r w:rsidRPr="00491760">
        <w:rPr>
          <w:rFonts w:cs="Arial"/>
        </w:rPr>
        <w:t>are</w:t>
      </w:r>
      <w:r w:rsidR="00610D76">
        <w:rPr>
          <w:rFonts w:cs="Arial"/>
        </w:rPr>
        <w:t xml:space="preserve"> able</w:t>
      </w:r>
      <w:r w:rsidRPr="00491760">
        <w:rPr>
          <w:rFonts w:cs="Arial"/>
        </w:rPr>
        <w:t xml:space="preserve"> to conduct study-related duties as authorized by the Principal Investigator in accordance with GCP </w:t>
      </w:r>
      <w:r w:rsidR="00B06ADB">
        <w:rPr>
          <w:rFonts w:cs="Arial"/>
        </w:rPr>
        <w:t>and Yale policies and applicable governing regulations</w:t>
      </w:r>
      <w:r w:rsidRPr="00491760">
        <w:rPr>
          <w:rFonts w:cs="Arial"/>
        </w:rPr>
        <w:t>.</w:t>
      </w:r>
      <w:r>
        <w:rPr>
          <w:rFonts w:cs="Arial"/>
        </w:rPr>
        <w:t xml:space="preserve"> </w:t>
      </w:r>
    </w:p>
    <w:p w:rsidR="00A44D3A" w:rsidRPr="00F06654" w:rsidP="00F06654" w14:paraId="241C8AFC" w14:textId="318DE021">
      <w:pPr>
        <w:pStyle w:val="BodyText"/>
        <w:numPr>
          <w:ilvl w:val="0"/>
          <w:numId w:val="10"/>
        </w:numPr>
        <w:spacing w:line="276" w:lineRule="auto"/>
        <w:ind w:left="1080"/>
        <w:contextualSpacing w:val="0"/>
        <w:rPr>
          <w:rFonts w:cs="Arial"/>
        </w:rPr>
      </w:pPr>
      <w:r>
        <w:rPr>
          <w:rFonts w:cs="Arial"/>
        </w:rPr>
        <w:t xml:space="preserve">The </w:t>
      </w:r>
      <w:r w:rsidR="00B06ADB">
        <w:rPr>
          <w:rFonts w:cs="Arial"/>
        </w:rPr>
        <w:t xml:space="preserve">following </w:t>
      </w:r>
      <w:r>
        <w:rPr>
          <w:rFonts w:cs="Arial"/>
        </w:rPr>
        <w:t>study personnel may</w:t>
      </w:r>
      <w:r w:rsidR="00B06ADB">
        <w:rPr>
          <w:rFonts w:cs="Arial"/>
        </w:rPr>
        <w:t xml:space="preserve"> be delegated study tasks with documentation of appropriate training and experience</w:t>
      </w:r>
      <w:r>
        <w:rPr>
          <w:rFonts w:cs="Arial"/>
        </w:rPr>
        <w:t>:</w:t>
      </w:r>
    </w:p>
    <w:p w:rsidR="00AD3906" w:rsidP="00A44D3A" w14:paraId="5A4E13F5" w14:textId="7D698FDB">
      <w:pPr>
        <w:pStyle w:val="BodyText"/>
        <w:numPr>
          <w:ilvl w:val="1"/>
          <w:numId w:val="10"/>
        </w:numPr>
        <w:spacing w:line="276" w:lineRule="auto"/>
        <w:rPr>
          <w:rFonts w:cs="Arial"/>
        </w:rPr>
      </w:pPr>
      <w:r w:rsidRPr="00355638">
        <w:rPr>
          <w:rFonts w:cs="Arial"/>
        </w:rPr>
        <w:t>Senior Associate Director</w:t>
      </w:r>
      <w:r w:rsidR="00252BD7">
        <w:rPr>
          <w:rFonts w:cs="Arial"/>
        </w:rPr>
        <w:t>, Quality Assurance</w:t>
      </w:r>
    </w:p>
    <w:p w:rsidR="00A44D3A" w:rsidP="00A44D3A" w14:paraId="7E7E49C4" w14:textId="3BC03E0F">
      <w:pPr>
        <w:pStyle w:val="BodyText"/>
        <w:numPr>
          <w:ilvl w:val="1"/>
          <w:numId w:val="10"/>
        </w:numPr>
        <w:spacing w:line="276" w:lineRule="auto"/>
        <w:rPr>
          <w:rFonts w:cs="Arial"/>
        </w:rPr>
      </w:pPr>
      <w:r>
        <w:rPr>
          <w:rFonts w:cs="Arial"/>
        </w:rPr>
        <w:t>Manager</w:t>
      </w:r>
      <w:r w:rsidR="00252BD7">
        <w:rPr>
          <w:rFonts w:cs="Arial"/>
        </w:rPr>
        <w:t>, Monitoring</w:t>
      </w:r>
    </w:p>
    <w:p w:rsidR="00F06654" w:rsidP="00A44D3A" w14:paraId="69905848" w14:textId="062E9938">
      <w:pPr>
        <w:pStyle w:val="BodyText"/>
        <w:numPr>
          <w:ilvl w:val="1"/>
          <w:numId w:val="10"/>
        </w:numPr>
        <w:spacing w:line="276" w:lineRule="auto"/>
        <w:rPr>
          <w:rFonts w:cs="Arial"/>
        </w:rPr>
      </w:pPr>
      <w:r>
        <w:rPr>
          <w:rFonts w:cs="Arial"/>
        </w:rPr>
        <w:t>Monitor</w:t>
      </w:r>
    </w:p>
    <w:p w:rsidR="00F06654" w:rsidRPr="00D16746" w:rsidP="00A44D3A" w14:paraId="7C887D6C" w14:textId="2C7F6860">
      <w:pPr>
        <w:pStyle w:val="BodyText"/>
        <w:numPr>
          <w:ilvl w:val="1"/>
          <w:numId w:val="10"/>
        </w:numPr>
        <w:spacing w:line="276" w:lineRule="auto"/>
        <w:rPr>
          <w:rFonts w:cs="Arial"/>
        </w:rPr>
      </w:pPr>
      <w:r>
        <w:rPr>
          <w:rFonts w:cs="Arial"/>
        </w:rPr>
        <w:t>Sponsor/Sponsor-Investigator</w:t>
      </w:r>
    </w:p>
    <w:p w:rsidR="002633B7" w:rsidRPr="00CD2820" w:rsidP="00B033B9" w14:paraId="2B6A4F27" w14:textId="6D89BFAA">
      <w:pPr>
        <w:pStyle w:val="SectionHeading"/>
        <w:numPr>
          <w:ilvl w:val="0"/>
          <w:numId w:val="8"/>
        </w:numPr>
        <w:spacing w:before="240"/>
        <w:ind w:left="720" w:hanging="720"/>
        <w:contextualSpacing w:val="0"/>
        <w:rPr>
          <w:color w:val="365F91" w:themeColor="accent1" w:themeShade="BF"/>
          <w:sz w:val="28"/>
          <w:szCs w:val="28"/>
        </w:rPr>
      </w:pPr>
      <w:r w:rsidRPr="00CD2820">
        <w:rPr>
          <w:color w:val="365F91" w:themeColor="accent1" w:themeShade="BF"/>
          <w:sz w:val="28"/>
          <w:szCs w:val="28"/>
        </w:rPr>
        <w:t xml:space="preserve">Contact Information </w:t>
      </w:r>
    </w:p>
    <w:p w:rsidR="004773EB" w:rsidP="002633B7" w14:paraId="45AF0671" w14:textId="469CF5D7">
      <w:pPr>
        <w:pStyle w:val="BodyText"/>
        <w:ind w:left="720"/>
      </w:pPr>
      <w:r>
        <w:t>Any exceptions</w:t>
      </w:r>
      <w:r w:rsidR="000546C4">
        <w:t xml:space="preserve"> or questions pertaining</w:t>
      </w:r>
      <w:r>
        <w:t xml:space="preserve"> to this procedure must be presented to </w:t>
      </w:r>
      <w:hyperlink r:id="rId15" w:history="1">
        <w:r w:rsidRPr="00117703">
          <w:rPr>
            <w:rStyle w:val="Hyperlink"/>
          </w:rPr>
          <w:t>ycci.sop@yale.edu</w:t>
        </w:r>
      </w:hyperlink>
      <w:r w:rsidR="00A41B44">
        <w:rPr>
          <w:rStyle w:val="Hyperlink"/>
        </w:rPr>
        <w:t>.</w:t>
      </w:r>
    </w:p>
    <w:p w:rsidR="00894643" w:rsidRPr="00CD2820" w:rsidP="00295AC9" w14:paraId="53FDF780" w14:textId="5066A2A0">
      <w:pPr>
        <w:pStyle w:val="SectionHeading"/>
        <w:keepNext w:val="0"/>
        <w:numPr>
          <w:ilvl w:val="0"/>
          <w:numId w:val="8"/>
        </w:numPr>
        <w:spacing w:before="240" w:after="240"/>
        <w:ind w:left="720" w:hanging="720"/>
        <w:contextualSpacing w:val="0"/>
        <w:rPr>
          <w:color w:val="365F91" w:themeColor="accent1" w:themeShade="BF"/>
          <w:sz w:val="28"/>
          <w:szCs w:val="28"/>
        </w:rPr>
      </w:pPr>
      <w:r w:rsidRPr="00CD2820">
        <w:rPr>
          <w:color w:val="365F91" w:themeColor="accent1" w:themeShade="BF"/>
          <w:sz w:val="28"/>
          <w:szCs w:val="28"/>
        </w:rPr>
        <w:t>Related Information</w:t>
      </w:r>
    </w:p>
    <w:p w:rsidR="009C30E8" w:rsidP="00295AC9" w14:paraId="10B1B644" w14:textId="16B4EC38">
      <w:pPr>
        <w:pStyle w:val="SectionHeading"/>
        <w:keepNext w:val="0"/>
        <w:spacing w:before="120" w:line="276" w:lineRule="auto"/>
        <w:ind w:left="360" w:firstLine="360"/>
        <w:contextualSpacing w:val="0"/>
        <w:rPr>
          <w:b w:val="0"/>
          <w:bCs/>
          <w:sz w:val="20"/>
          <w:szCs w:val="16"/>
        </w:rPr>
      </w:pPr>
      <w:r>
        <w:rPr>
          <w:b w:val="0"/>
          <w:bCs/>
          <w:sz w:val="20"/>
          <w:szCs w:val="16"/>
        </w:rPr>
        <w:t>This section identifies applicable regulations, guidance’s, and policies related to this procedure.</w:t>
      </w:r>
    </w:p>
    <w:p w:rsidR="005A1AD7" w:rsidP="00E52458" w14:paraId="1A5E1DD4" w14:textId="28B13031">
      <w:pPr>
        <w:pStyle w:val="ListParagraph"/>
        <w:numPr>
          <w:ilvl w:val="1"/>
          <w:numId w:val="8"/>
        </w:numPr>
        <w:spacing w:before="120" w:after="120"/>
        <w:ind w:left="1080"/>
        <w:contextualSpacing w:val="0"/>
        <w:rPr>
          <w:rFonts w:cs="Arial"/>
          <w:b/>
          <w:bCs/>
        </w:rPr>
      </w:pPr>
      <w:r w:rsidRPr="005A1AD7">
        <w:rPr>
          <w:rFonts w:cs="Arial"/>
          <w:b/>
          <w:bCs/>
        </w:rPr>
        <w:t>Code of Federal Regulations</w:t>
      </w:r>
    </w:p>
    <w:p w:rsidR="00FA7EFD" w:rsidRPr="001873FB" w:rsidP="00E52458" w14:paraId="75AFF9B0" w14:textId="77777777">
      <w:pPr>
        <w:pStyle w:val="SectionHeading"/>
        <w:keepNext w:val="0"/>
        <w:numPr>
          <w:ilvl w:val="0"/>
          <w:numId w:val="32"/>
        </w:numPr>
        <w:tabs>
          <w:tab w:val="left" w:pos="1350"/>
        </w:tabs>
        <w:spacing w:line="276" w:lineRule="auto"/>
        <w:ind w:left="1350"/>
        <w:rPr>
          <w:b w:val="0"/>
          <w:bCs/>
          <w:sz w:val="20"/>
        </w:rPr>
      </w:pPr>
      <w:hyperlink r:id="rId16" w:history="1">
        <w:r w:rsidRPr="001873FB">
          <w:rPr>
            <w:rStyle w:val="Hyperlink"/>
            <w:b w:val="0"/>
            <w:bCs/>
            <w:sz w:val="20"/>
          </w:rPr>
          <w:t>US FDA Code of Federal Regulations, Title 21 Part 312 (IND)</w:t>
        </w:r>
      </w:hyperlink>
    </w:p>
    <w:p w:rsidR="00FA7EFD" w:rsidP="00E52458" w14:paraId="7B0AD5F6" w14:textId="77777777">
      <w:pPr>
        <w:pStyle w:val="SectionHeading"/>
        <w:keepNext w:val="0"/>
        <w:numPr>
          <w:ilvl w:val="0"/>
          <w:numId w:val="32"/>
        </w:numPr>
        <w:tabs>
          <w:tab w:val="left" w:pos="1350"/>
        </w:tabs>
        <w:spacing w:line="276" w:lineRule="auto"/>
        <w:ind w:left="1350"/>
        <w:rPr>
          <w:rStyle w:val="Hyperlink"/>
          <w:b w:val="0"/>
          <w:bCs/>
          <w:sz w:val="20"/>
        </w:rPr>
      </w:pPr>
      <w:hyperlink r:id="rId17" w:history="1">
        <w:r w:rsidRPr="001873FB">
          <w:rPr>
            <w:rStyle w:val="Hyperlink"/>
            <w:b w:val="0"/>
            <w:bCs/>
            <w:sz w:val="20"/>
          </w:rPr>
          <w:t>US FDA Code of Federal Regulations, Title 21 Part 812 (IDE)</w:t>
        </w:r>
      </w:hyperlink>
    </w:p>
    <w:p w:rsidR="004230EC" w:rsidP="00E52458" w14:paraId="1E4DE935" w14:textId="77777777">
      <w:pPr>
        <w:pStyle w:val="SectionHeading"/>
        <w:keepNext w:val="0"/>
        <w:tabs>
          <w:tab w:val="left" w:pos="1350"/>
        </w:tabs>
        <w:spacing w:line="276" w:lineRule="auto"/>
        <w:rPr>
          <w:rStyle w:val="Hyperlink"/>
          <w:b w:val="0"/>
          <w:bCs/>
          <w:sz w:val="20"/>
        </w:rPr>
      </w:pPr>
    </w:p>
    <w:p w:rsidR="004230EC" w:rsidRPr="001873FB" w:rsidP="00604EBD" w14:paraId="60F3CEB7" w14:textId="118DE38A">
      <w:pPr>
        <w:pStyle w:val="SectionHeading"/>
        <w:numPr>
          <w:ilvl w:val="1"/>
          <w:numId w:val="8"/>
        </w:numPr>
        <w:spacing w:before="120" w:line="276" w:lineRule="auto"/>
        <w:ind w:left="1080"/>
        <w:contextualSpacing w:val="0"/>
        <w:rPr>
          <w:sz w:val="20"/>
        </w:rPr>
      </w:pPr>
      <w:r w:rsidRPr="001873FB">
        <w:rPr>
          <w:sz w:val="20"/>
        </w:rPr>
        <w:t>Good Clinical Practice</w:t>
      </w:r>
    </w:p>
    <w:p w:rsidR="004230EC" w:rsidRPr="0022598B" w:rsidP="0296C1C4" w14:paraId="2E3922AB" w14:textId="618DDAF3">
      <w:pPr>
        <w:pStyle w:val="SectionHeading"/>
        <w:numPr>
          <w:ilvl w:val="0"/>
          <w:numId w:val="33"/>
        </w:numPr>
        <w:tabs>
          <w:tab w:val="num" w:pos="1440"/>
        </w:tabs>
        <w:spacing w:line="276" w:lineRule="auto"/>
        <w:ind w:left="1354"/>
        <w:contextualSpacing w:val="0"/>
        <w:rPr>
          <w:rStyle w:val="Hyperlink"/>
          <w:b w:val="0"/>
          <w:bCs w:val="0"/>
          <w:sz w:val="20"/>
          <w:szCs w:val="20"/>
        </w:rPr>
      </w:pPr>
      <w:hyperlink r:id="rId18">
        <w:r w:rsidRPr="0296C1C4" w:rsidR="0296C1C4">
          <w:rPr>
            <w:rStyle w:val="Hyperlink"/>
            <w:b w:val="0"/>
            <w:bCs w:val="0"/>
            <w:sz w:val="20"/>
            <w:szCs w:val="20"/>
          </w:rPr>
          <w:t>ICH Guideline for Good Clinical Practice E6 (Section 8)</w:t>
        </w:r>
      </w:hyperlink>
      <w:r w:rsidRPr="0296C1C4" w:rsidR="0296C1C4">
        <w:rPr>
          <w:b w:val="0"/>
          <w:bCs w:val="0"/>
          <w:sz w:val="20"/>
          <w:szCs w:val="20"/>
        </w:rPr>
        <w:t xml:space="preserve"> </w:t>
      </w:r>
    </w:p>
    <w:p w:rsidR="00E862D6" w:rsidRPr="00CD2820" w:rsidP="0022598B" w14:paraId="2246D93D" w14:textId="5555109E">
      <w:pPr>
        <w:pStyle w:val="SectionHeading"/>
        <w:numPr>
          <w:ilvl w:val="0"/>
          <w:numId w:val="8"/>
        </w:numPr>
        <w:spacing w:before="240" w:after="240"/>
        <w:ind w:left="720" w:hanging="720"/>
        <w:contextualSpacing w:val="0"/>
        <w:rPr>
          <w:color w:val="365F91" w:themeColor="accent1" w:themeShade="BF"/>
          <w:sz w:val="28"/>
          <w:szCs w:val="28"/>
        </w:rPr>
      </w:pPr>
      <w:r w:rsidRPr="00CD2820">
        <w:rPr>
          <w:color w:val="365F91" w:themeColor="accent1" w:themeShade="BF"/>
          <w:sz w:val="28"/>
          <w:szCs w:val="28"/>
        </w:rPr>
        <w:t>Referenc</w:t>
      </w:r>
      <w:r w:rsidRPr="00CD2820" w:rsidR="00D229F5">
        <w:rPr>
          <w:color w:val="365F91" w:themeColor="accent1" w:themeShade="BF"/>
          <w:sz w:val="28"/>
          <w:szCs w:val="28"/>
        </w:rPr>
        <w:t>e</w:t>
      </w:r>
      <w:r w:rsidRPr="00CD2820" w:rsidR="00CE6CED">
        <w:rPr>
          <w:color w:val="365F91" w:themeColor="accent1" w:themeShade="BF"/>
          <w:sz w:val="28"/>
          <w:szCs w:val="28"/>
        </w:rPr>
        <w:t xml:space="preserve"> Materials</w:t>
      </w:r>
    </w:p>
    <w:p w:rsidR="0041141F" w:rsidP="00A04E94" w14:paraId="1061A6CB" w14:textId="719885D9">
      <w:pPr>
        <w:pStyle w:val="SectionHeading"/>
        <w:spacing w:before="240"/>
        <w:ind w:left="720"/>
        <w:contextualSpacing w:val="0"/>
        <w:rPr>
          <w:rFonts w:cs="Arial"/>
          <w:b w:val="0"/>
          <w:bCs/>
          <w:sz w:val="20"/>
        </w:rPr>
      </w:pPr>
      <w:r w:rsidRPr="001158BD">
        <w:rPr>
          <w:rFonts w:cs="Arial"/>
          <w:b w:val="0"/>
          <w:bCs/>
          <w:sz w:val="20"/>
        </w:rPr>
        <w:t>Reference materials are located in</w:t>
      </w:r>
      <w:r w:rsidRPr="001158BD">
        <w:rPr>
          <w:rFonts w:cs="Arial"/>
          <w:b w:val="0"/>
          <w:bCs/>
          <w:sz w:val="20"/>
        </w:rPr>
        <w:t xml:space="preserve"> each functional area’s working directory.</w:t>
      </w:r>
    </w:p>
    <w:p w:rsidR="003C78B1" w:rsidRPr="00201B41" w:rsidP="003C78B1" w14:paraId="26D3B4D7" w14:textId="0D93E55E">
      <w:pPr>
        <w:pStyle w:val="SectionHeading"/>
        <w:numPr>
          <w:ilvl w:val="0"/>
          <w:numId w:val="28"/>
        </w:numPr>
        <w:spacing w:before="240"/>
        <w:contextualSpacing w:val="0"/>
        <w:rPr>
          <w:rFonts w:cs="Arial"/>
          <w:b w:val="0"/>
          <w:bCs/>
          <w:sz w:val="20"/>
        </w:rPr>
      </w:pPr>
      <w:r w:rsidRPr="00201B41">
        <w:rPr>
          <w:rFonts w:cs="Arial"/>
          <w:b w:val="0"/>
          <w:bCs/>
          <w:sz w:val="20"/>
        </w:rPr>
        <w:t>Office of Quality Assurance and Monitoring (OQAM) Risk Assessment Scale</w:t>
      </w:r>
    </w:p>
    <w:p w:rsidR="007632A7" w:rsidRPr="00CD2820" w:rsidP="00B033B9" w14:paraId="37A04C74" w14:textId="2204E7CF">
      <w:pPr>
        <w:pStyle w:val="SectionHeading"/>
        <w:numPr>
          <w:ilvl w:val="0"/>
          <w:numId w:val="8"/>
        </w:numPr>
        <w:spacing w:before="240" w:after="240"/>
        <w:ind w:left="720" w:hanging="720"/>
        <w:contextualSpacing w:val="0"/>
        <w:rPr>
          <w:b w:val="0"/>
          <w:color w:val="365F91" w:themeColor="accent1" w:themeShade="BF"/>
          <w:sz w:val="28"/>
          <w:szCs w:val="28"/>
        </w:rPr>
      </w:pPr>
      <w:r w:rsidRPr="00CD2820">
        <w:rPr>
          <w:color w:val="365F91" w:themeColor="accent1" w:themeShade="BF"/>
          <w:sz w:val="28"/>
          <w:szCs w:val="28"/>
        </w:rPr>
        <w:t xml:space="preserve">Version </w:t>
      </w:r>
      <w:r w:rsidRPr="00CD2820" w:rsidR="00477589">
        <w:rPr>
          <w:color w:val="365F91" w:themeColor="accent1" w:themeShade="BF"/>
          <w:sz w:val="28"/>
          <w:szCs w:val="28"/>
        </w:rPr>
        <w:t>History</w:t>
      </w:r>
    </w:p>
    <w:p w:rsidR="00E862D6" w:rsidP="00132948" w14:paraId="16DDC623" w14:textId="1D25ABB8">
      <w:pPr>
        <w:pStyle w:val="BodyText"/>
        <w:numPr>
          <w:ilvl w:val="0"/>
          <w:numId w:val="26"/>
        </w:numPr>
        <w:spacing w:before="0" w:line="276" w:lineRule="auto"/>
        <w:ind w:left="1080"/>
        <w:contextualSpacing w:val="0"/>
        <w:rPr>
          <w:rFonts w:cs="Arial"/>
          <w:color w:val="000000"/>
        </w:rPr>
      </w:pPr>
      <w:r>
        <w:rPr>
          <w:rFonts w:cs="Arial"/>
          <w:b/>
          <w:bCs/>
          <w:color w:val="000000"/>
        </w:rPr>
        <w:t>01/21/2025</w:t>
      </w:r>
      <w:r w:rsidRPr="00E862D6" w:rsidR="001F7E91">
        <w:rPr>
          <w:rFonts w:cs="Arial"/>
          <w:color w:val="000000"/>
        </w:rPr>
        <w:t>: New document (no prior history)</w:t>
      </w:r>
    </w:p>
    <w:p w:rsidR="00C80EEB" w:rsidP="00C80EEB" w14:paraId="69E35159" w14:textId="77777777">
      <w:pPr>
        <w:pStyle w:val="BodyText"/>
        <w:spacing w:before="0" w:line="276" w:lineRule="auto"/>
        <w:contextualSpacing w:val="0"/>
        <w:rPr>
          <w:rFonts w:cs="Arial"/>
        </w:rPr>
      </w:pPr>
    </w:p>
    <w:p w:rsidR="00C80EEB" w:rsidP="00C80EEB" w14:paraId="51E89905" w14:textId="77777777">
      <w:r w:rsidRPr="00825DBD">
        <w:rPr>
          <w:b/>
          <w:bCs/>
          <w:szCs w:val="24"/>
        </w:rPr>
        <w:t xml:space="preserve">Responsible Official: </w:t>
      </w:r>
      <w:r w:rsidRPr="00825DBD">
        <w:rPr>
          <w:b/>
          <w:bCs/>
          <w:szCs w:val="24"/>
        </w:rPr>
        <w:tab/>
      </w:r>
      <w:r w:rsidRPr="00825DBD">
        <w:rPr>
          <w:b/>
          <w:bCs/>
          <w:szCs w:val="24"/>
        </w:rPr>
        <w:tab/>
      </w:r>
      <w:r>
        <w:t>Co-Directors</w:t>
      </w:r>
    </w:p>
    <w:p w:rsidR="00CD2820" w:rsidRPr="00825DBD" w:rsidP="00CD2820" w14:paraId="07BF5D2D" w14:textId="77777777">
      <w:pPr>
        <w:rPr>
          <w:b/>
          <w:bCs/>
          <w:szCs w:val="24"/>
        </w:rPr>
      </w:pPr>
      <w:r w:rsidRPr="00825DBD">
        <w:rPr>
          <w:b/>
          <w:bCs/>
          <w:szCs w:val="24"/>
        </w:rPr>
        <w:t>Document Administrator:</w:t>
      </w:r>
      <w:r>
        <w:rPr>
          <w:b/>
          <w:bCs/>
          <w:szCs w:val="24"/>
        </w:rPr>
        <w:tab/>
      </w:r>
      <w:r>
        <w:t>Audrey King</w:t>
      </w:r>
    </w:p>
    <w:p w:rsidR="00CD2820" w:rsidRPr="00825DBD" w:rsidP="00CD2820" w14:paraId="53663A00" w14:textId="616A9AAC">
      <w:pPr>
        <w:rPr>
          <w:szCs w:val="24"/>
        </w:rPr>
      </w:pPr>
      <w:r w:rsidRPr="00825DBD">
        <w:rPr>
          <w:b/>
          <w:bCs/>
          <w:szCs w:val="24"/>
        </w:rPr>
        <w:t xml:space="preserve">Date of Origin: </w:t>
      </w:r>
      <w:r w:rsidRPr="00825DBD">
        <w:rPr>
          <w:b/>
          <w:bCs/>
          <w:szCs w:val="24"/>
        </w:rPr>
        <w:tab/>
      </w:r>
      <w:r w:rsidRPr="00825DBD">
        <w:rPr>
          <w:b/>
          <w:bCs/>
          <w:szCs w:val="24"/>
        </w:rPr>
        <w:tab/>
      </w:r>
      <w:r>
        <w:t>02/03/2025</w:t>
      </w:r>
    </w:p>
    <w:p w:rsidR="00CD2820" w:rsidRPr="00CD2820" w:rsidP="00CD2820" w14:paraId="14FB4CD6" w14:textId="1B6BF8E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02/03/2025</w:t>
      </w:r>
      <w:r>
        <w:fldChar w:fldCharType="end"/>
      </w:r>
    </w:p>
    <w:p w:rsidR="00C80EEB" w:rsidRPr="00132948" w:rsidP="00C80EEB" w14:paraId="41E38EC3" w14:textId="77777777">
      <w:pPr>
        <w:pStyle w:val="BodyText"/>
        <w:spacing w:before="0" w:line="276" w:lineRule="auto"/>
        <w:contextualSpacing w:val="0"/>
        <w:rPr>
          <w:rFonts w:cs="Arial"/>
          <w:color w:val="000000"/>
        </w:rPr>
      </w:pPr>
    </w:p>
    <w:sectPr w:rsidSect="00641FF8">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527FE" w14:paraId="34C8B499" w14:textId="77777777">
      <w:pPr>
        <w:spacing w:before="0" w:after="0"/>
      </w:pPr>
      <w:r>
        <w:separator/>
      </w:r>
    </w:p>
  </w:endnote>
  <w:endnote w:type="continuationSeparator" w:id="1">
    <w:p w:rsidR="005527FE" w14:paraId="2ED25A6B"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5</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5</w:t>
            </w:r>
            <w:r>
              <w:rPr>
                <w:b/>
                <w:bCs/>
                <w:sz w:val="24"/>
                <w:szCs w:val="24"/>
              </w:rPr>
              <w:fldChar w:fldCharType="end"/>
            </w:r>
          </w:p>
        </w:sdtContent>
      </w:sdt>
    </w:sdtContent>
  </w:sdt>
  <w:p w:rsidR="00970B5C" w14:paraId="2A75DC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527FE" w14:paraId="69947C0C" w14:textId="77777777">
      <w:pPr>
        <w:spacing w:before="0" w:after="0"/>
      </w:pPr>
      <w:r>
        <w:separator/>
      </w:r>
    </w:p>
  </w:footnote>
  <w:footnote w:type="continuationSeparator" w:id="1">
    <w:p w:rsidR="005527FE" w14:paraId="2AE8FE1E"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2411" w:rsidP="003E2411" w14:paraId="6D534107" w14:textId="77777777">
    <w:pPr>
      <w:pStyle w:val="DocTitle"/>
    </w:pPr>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8D3096" w:rsidRPr="003E2411" w:rsidP="003E2411" w14:paraId="51C86FE5" w14:textId="7B3D66B7">
    <w:pPr>
      <w:pStyle w:val="DocTitle"/>
      <w:rPr>
        <w:color w:val="17365D" w:themeColor="text2" w:themeShade="BF"/>
      </w:rPr>
    </w:pPr>
    <w:r>
      <w:rPr>
        <w:color w:val="17365D" w:themeColor="text2" w:themeShade="BF"/>
      </w:rPr>
      <w:t>Monitoring Tiered Support -05</w:t>
    </w:r>
    <w:r w:rsidR="00994720">
      <w:rPr>
        <w:color w:val="17365D" w:themeColor="text2" w:themeShade="BF"/>
      </w:rPr>
      <w:t>10</w:t>
    </w:r>
    <w:r>
      <w:rPr>
        <w:color w:val="17365D" w:themeColor="text2" w:themeShade="BF"/>
      </w:rPr>
      <w:t>- Procedure</w:t>
    </w:r>
  </w:p>
  <w:p w:rsidR="008D3096" w:rsidRPr="00825DBD" w:rsidP="008D3096" w14:paraId="7F406F6B" w14:textId="2DE7E956">
    <w:pPr>
      <w:rPr>
        <w:szCs w:val="24"/>
      </w:rPr>
    </w:pPr>
    <w:r w:rsidRPr="00825DBD">
      <w:rPr>
        <w:b/>
        <w:bCs/>
        <w:szCs w:val="24"/>
      </w:rPr>
      <w:t>Responsible Office:</w:t>
    </w:r>
    <w:r w:rsidRPr="00825DBD">
      <w:rPr>
        <w:b/>
        <w:bCs/>
        <w:szCs w:val="24"/>
      </w:rPr>
      <w:tab/>
    </w:r>
    <w:r w:rsidRPr="00825DBD">
      <w:rPr>
        <w:b/>
        <w:bCs/>
        <w:szCs w:val="24"/>
      </w:rPr>
      <w:tab/>
    </w:r>
    <w:r w:rsidR="0068355F">
      <w:t>YCCI</w:t>
    </w:r>
  </w:p>
  <w:p w:rsidR="008D3096" w:rsidRPr="00825DBD" w:rsidP="008D3096" w14:paraId="0D34BC6A" w14:textId="7105345F">
    <w:pPr>
      <w:rPr>
        <w:b/>
        <w:bCs/>
        <w:szCs w:val="24"/>
      </w:rPr>
    </w:pPr>
    <w:r>
      <w:rPr>
        <w:b/>
        <w:bCs/>
        <w:szCs w:val="24"/>
      </w:rPr>
      <w:t>Procedure</w:t>
    </w:r>
    <w:r w:rsidRPr="00825DBD">
      <w:rPr>
        <w:b/>
        <w:bCs/>
        <w:szCs w:val="24"/>
      </w:rPr>
      <w:t xml:space="preserve"> Sponsor:</w:t>
    </w:r>
    <w:r w:rsidRPr="00825DBD">
      <w:rPr>
        <w:b/>
        <w:bCs/>
        <w:szCs w:val="24"/>
      </w:rPr>
      <w:tab/>
    </w:r>
    <w:r w:rsidR="00F95CFD">
      <w:rPr>
        <w:b/>
        <w:bCs/>
        <w:szCs w:val="24"/>
      </w:rPr>
      <w:tab/>
    </w:r>
    <w:r w:rsidR="0068355F">
      <w:t>Nancy Shelton, Theresa Goddard</w:t>
    </w:r>
  </w:p>
  <w:p w:rsidR="00EA07CA" w:rsidRPr="008D3096" w:rsidP="004135B1" w14:paraId="5A772FDB" w14:textId="13638DCA">
    <w:pPr>
      <w:pBdr>
        <w:bottom w:val="single" w:sz="4" w:space="1" w:color="auto"/>
      </w:pBdr>
      <w:rPr>
        <w:szCs w:val="24"/>
      </w:rPr>
    </w:pPr>
    <w:r w:rsidRPr="00825DBD">
      <w:rPr>
        <w:b/>
        <w:bCs/>
        <w:szCs w:val="24"/>
      </w:rPr>
      <w:t>Effective Date:</w:t>
    </w:r>
    <w:r w:rsidRPr="00825DBD">
      <w:rPr>
        <w:b/>
        <w:bCs/>
        <w:szCs w:val="24"/>
      </w:rPr>
      <w:tab/>
    </w:r>
    <w:r w:rsidRPr="00825DBD">
      <w:rPr>
        <w:b/>
        <w:bCs/>
        <w:szCs w:val="24"/>
      </w:rPr>
      <w:tab/>
    </w:r>
    <w:r w:rsidR="00F95CFD">
      <w:rPr>
        <w:b/>
        <w:bCs/>
        <w:szCs w:val="24"/>
      </w:rPr>
      <w:tab/>
    </w:r>
    <w:r w:rsidR="00943E40">
      <w:t>02/03/2025</w:t>
    </w:r>
    <w:r w:rsidR="004135B1">
      <w:rPr>
        <w:b/>
        <w:bCs/>
        <w:szCs w:val="24"/>
      </w:rPr>
      <w:br/>
    </w:r>
    <w:r w:rsidRPr="00825DBD">
      <w:rPr>
        <w:b/>
        <w:bCs/>
        <w:szCs w:val="24"/>
      </w:rPr>
      <w:tab/>
    </w:r>
    <w:r w:rsidR="006161C7">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50D61D0"/>
    <w:multiLevelType w:val="hybridMultilevel"/>
    <w:tmpl w:val="CDF836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D871A6D"/>
    <w:multiLevelType w:val="hybridMultilevel"/>
    <w:tmpl w:val="FEF8041E"/>
    <w:lvl w:ilvl="0">
      <w:start w:val="1"/>
      <w:numFmt w:val="bullet"/>
      <w:lvlText w:val="o"/>
      <w:lvlJc w:val="left"/>
      <w:pPr>
        <w:ind w:left="2880" w:hanging="360"/>
      </w:pPr>
      <w:rPr>
        <w:rFonts w:ascii="Courier New" w:hAnsi="Courier New" w:cs="Courier New"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3" w15:restartNumberingAfterBreak="0">
    <w:nsid w:val="113433E6"/>
    <w:multiLevelType w:val="hybridMultilevel"/>
    <w:tmpl w:val="99C000C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15:restartNumberingAfterBreak="0">
    <w:nsid w:val="122125D3"/>
    <w:multiLevelType w:val="hybridMultilevel"/>
    <w:tmpl w:val="ED902F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4C0319F"/>
    <w:multiLevelType w:val="hybridMultilevel"/>
    <w:tmpl w:val="17C8B5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22A24923"/>
    <w:multiLevelType w:val="hybridMultilevel"/>
    <w:tmpl w:val="F38CCC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15:restartNumberingAfterBreak="0">
    <w:nsid w:val="25D76EA0"/>
    <w:multiLevelType w:val="hybridMultilevel"/>
    <w:tmpl w:val="0A9AF3F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15:restartNumberingAfterBreak="0">
    <w:nsid w:val="27A4778C"/>
    <w:multiLevelType w:val="hybridMultilevel"/>
    <w:tmpl w:val="6488546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15:restartNumberingAfterBreak="0">
    <w:nsid w:val="28FE5102"/>
    <w:multiLevelType w:val="hybridMultilevel"/>
    <w:tmpl w:val="12C0CB8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15:restartNumberingAfterBreak="0">
    <w:nsid w:val="29AE28A2"/>
    <w:multiLevelType w:val="multilevel"/>
    <w:tmpl w:val="B5F0438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1A41FF"/>
    <w:multiLevelType w:val="hybridMultilevel"/>
    <w:tmpl w:val="9200951C"/>
    <w:lvl w:ilvl="0">
      <w:start w:val="1"/>
      <w:numFmt w:val="bullet"/>
      <w:lvlText w:val=""/>
      <w:lvlJc w:val="left"/>
      <w:pPr>
        <w:ind w:left="1490" w:hanging="360"/>
      </w:pPr>
      <w:rPr>
        <w:rFonts w:ascii="Symbol" w:hAnsi="Symbol" w:hint="default"/>
      </w:rPr>
    </w:lvl>
    <w:lvl w:ilvl="1">
      <w:start w:val="1"/>
      <w:numFmt w:val="bullet"/>
      <w:lvlText w:val=""/>
      <w:lvlJc w:val="left"/>
      <w:pPr>
        <w:ind w:left="2210" w:hanging="360"/>
      </w:pPr>
      <w:rPr>
        <w:rFonts w:ascii="Symbol" w:hAnsi="Symbol" w:hint="default"/>
      </w:rPr>
    </w:lvl>
    <w:lvl w:ilvl="2" w:tentative="1">
      <w:start w:val="1"/>
      <w:numFmt w:val="bullet"/>
      <w:lvlText w:val=""/>
      <w:lvlJc w:val="left"/>
      <w:pPr>
        <w:ind w:left="2930" w:hanging="360"/>
      </w:pPr>
      <w:rPr>
        <w:rFonts w:ascii="Wingdings" w:hAnsi="Wingdings" w:hint="default"/>
      </w:rPr>
    </w:lvl>
    <w:lvl w:ilvl="3" w:tentative="1">
      <w:start w:val="1"/>
      <w:numFmt w:val="bullet"/>
      <w:lvlText w:val=""/>
      <w:lvlJc w:val="left"/>
      <w:pPr>
        <w:ind w:left="3650" w:hanging="360"/>
      </w:pPr>
      <w:rPr>
        <w:rFonts w:ascii="Symbol" w:hAnsi="Symbol" w:hint="default"/>
      </w:rPr>
    </w:lvl>
    <w:lvl w:ilvl="4" w:tentative="1">
      <w:start w:val="1"/>
      <w:numFmt w:val="bullet"/>
      <w:lvlText w:val="o"/>
      <w:lvlJc w:val="left"/>
      <w:pPr>
        <w:ind w:left="4370" w:hanging="360"/>
      </w:pPr>
      <w:rPr>
        <w:rFonts w:ascii="Courier New" w:hAnsi="Courier New" w:cs="Courier New" w:hint="default"/>
      </w:rPr>
    </w:lvl>
    <w:lvl w:ilvl="5" w:tentative="1">
      <w:start w:val="1"/>
      <w:numFmt w:val="bullet"/>
      <w:lvlText w:val=""/>
      <w:lvlJc w:val="left"/>
      <w:pPr>
        <w:ind w:left="5090" w:hanging="360"/>
      </w:pPr>
      <w:rPr>
        <w:rFonts w:ascii="Wingdings" w:hAnsi="Wingdings" w:hint="default"/>
      </w:rPr>
    </w:lvl>
    <w:lvl w:ilvl="6" w:tentative="1">
      <w:start w:val="1"/>
      <w:numFmt w:val="bullet"/>
      <w:lvlText w:val=""/>
      <w:lvlJc w:val="left"/>
      <w:pPr>
        <w:ind w:left="5810" w:hanging="360"/>
      </w:pPr>
      <w:rPr>
        <w:rFonts w:ascii="Symbol" w:hAnsi="Symbol" w:hint="default"/>
      </w:rPr>
    </w:lvl>
    <w:lvl w:ilvl="7" w:tentative="1">
      <w:start w:val="1"/>
      <w:numFmt w:val="bullet"/>
      <w:lvlText w:val="o"/>
      <w:lvlJc w:val="left"/>
      <w:pPr>
        <w:ind w:left="6530" w:hanging="360"/>
      </w:pPr>
      <w:rPr>
        <w:rFonts w:ascii="Courier New" w:hAnsi="Courier New" w:cs="Courier New" w:hint="default"/>
      </w:rPr>
    </w:lvl>
    <w:lvl w:ilvl="8" w:tentative="1">
      <w:start w:val="1"/>
      <w:numFmt w:val="bullet"/>
      <w:lvlText w:val=""/>
      <w:lvlJc w:val="left"/>
      <w:pPr>
        <w:ind w:left="7250" w:hanging="360"/>
      </w:pPr>
      <w:rPr>
        <w:rFonts w:ascii="Wingdings" w:hAnsi="Wingdings" w:hint="default"/>
      </w:rPr>
    </w:lvl>
  </w:abstractNum>
  <w:abstractNum w:abstractNumId="14" w15:restartNumberingAfterBreak="0">
    <w:nsid w:val="30806C36"/>
    <w:multiLevelType w:val="hybridMultilevel"/>
    <w:tmpl w:val="69F209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30C70268"/>
    <w:multiLevelType w:val="hybridMultilevel"/>
    <w:tmpl w:val="39EC60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30C70533"/>
    <w:multiLevelType w:val="hybridMultilevel"/>
    <w:tmpl w:val="34CAA8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336C6CF7"/>
    <w:multiLevelType w:val="multilevel"/>
    <w:tmpl w:val="1D6ABE4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7FF7BBA"/>
    <w:multiLevelType w:val="hybridMultilevel"/>
    <w:tmpl w:val="A1FE07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3A63381E"/>
    <w:multiLevelType w:val="hybridMultilevel"/>
    <w:tmpl w:val="C47A1AAE"/>
    <w:lvl w:ilvl="0">
      <w:start w:val="0"/>
      <w:numFmt w:val="bullet"/>
      <w:lvlText w:val="•"/>
      <w:lvlJc w:val="left"/>
      <w:pPr>
        <w:ind w:left="1440" w:hanging="72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3E975912"/>
    <w:multiLevelType w:val="hybridMultilevel"/>
    <w:tmpl w:val="7BF03B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415942E4"/>
    <w:multiLevelType w:val="hybridMultilevel"/>
    <w:tmpl w:val="DCC2AC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40A691A"/>
    <w:multiLevelType w:val="hybridMultilevel"/>
    <w:tmpl w:val="CCE882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0">
    <w:nsid w:val="4445544E"/>
    <w:multiLevelType w:val="hybridMultilevel"/>
    <w:tmpl w:val="D578162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15:restartNumberingAfterBreak="0">
    <w:nsid w:val="45563963"/>
    <w:multiLevelType w:val="hybridMultilevel"/>
    <w:tmpl w:val="B55AD6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6" w15:restartNumberingAfterBreak="0">
    <w:nsid w:val="458C5C84"/>
    <w:multiLevelType w:val="hybridMultilevel"/>
    <w:tmpl w:val="202A62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28" w15:restartNumberingAfterBreak="0">
    <w:nsid w:val="4E821149"/>
    <w:multiLevelType w:val="multilevel"/>
    <w:tmpl w:val="432EC71E"/>
    <w:lvl w:ilvl="0">
      <w:start w:val="1"/>
      <w:numFmt w:val="decimal"/>
      <w:lvlText w:val="%1.0"/>
      <w:lvlJc w:val="left"/>
      <w:pPr>
        <w:ind w:left="64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30" w15:restartNumberingAfterBreak="0">
    <w:nsid w:val="50E51BEC"/>
    <w:multiLevelType w:val="hybridMultilevel"/>
    <w:tmpl w:val="C33A44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15:restartNumberingAfterBreak="0">
    <w:nsid w:val="5192271D"/>
    <w:multiLevelType w:val="multilevel"/>
    <w:tmpl w:val="6C22B6C6"/>
    <w:lvl w:ilvl="0">
      <w:start w:val="4"/>
      <w:numFmt w:val="decimal"/>
      <w:lvlText w:val="%1"/>
      <w:lvlJc w:val="left"/>
      <w:pPr>
        <w:ind w:left="444" w:hanging="444"/>
      </w:pPr>
      <w:rPr>
        <w:rFonts w:hint="default"/>
      </w:rPr>
    </w:lvl>
    <w:lvl w:ilvl="1">
      <w:start w:val="2"/>
      <w:numFmt w:val="decimal"/>
      <w:lvlText w:val="%1.%2"/>
      <w:lvlJc w:val="left"/>
      <w:pPr>
        <w:ind w:left="1164" w:hanging="444"/>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24865A9"/>
    <w:multiLevelType w:val="hybridMultilevel"/>
    <w:tmpl w:val="8A5C54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0">
    <w:nsid w:val="59987547"/>
    <w:multiLevelType w:val="multilevel"/>
    <w:tmpl w:val="432EC71E"/>
    <w:lvl w:ilvl="0">
      <w:start w:val="1"/>
      <w:numFmt w:val="decimal"/>
      <w:lvlText w:val="%1.0"/>
      <w:lvlJc w:val="left"/>
      <w:pPr>
        <w:ind w:left="6480" w:hanging="360"/>
      </w:pPr>
      <w:rPr>
        <w:rFonts w:hint="default"/>
        <w:b/>
        <w:bCs/>
      </w:rPr>
    </w:lvl>
    <w:lvl w:ilvl="1">
      <w:start w:val="1"/>
      <w:numFmt w:val="decimal"/>
      <w:lvlText w:val="%1.%2"/>
      <w:lvlJc w:val="left"/>
      <w:pPr>
        <w:ind w:left="990" w:hanging="360"/>
      </w:pPr>
      <w:rPr>
        <w:rFonts w:hint="default"/>
        <w:b/>
        <w:bCs/>
        <w:sz w:val="20"/>
        <w:szCs w:val="20"/>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E5F3963"/>
    <w:multiLevelType w:val="hybridMultilevel"/>
    <w:tmpl w:val="4192E4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5"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36" w15:restartNumberingAfterBreak="0">
    <w:nsid w:val="67446CDA"/>
    <w:multiLevelType w:val="hybridMultilevel"/>
    <w:tmpl w:val="36EA0270"/>
    <w:lvl w:ilvl="0">
      <w:start w:val="1"/>
      <w:numFmt w:val="bullet"/>
      <w:lvlText w:val=""/>
      <w:lvlJc w:val="left"/>
      <w:pPr>
        <w:ind w:left="1490" w:hanging="360"/>
      </w:pPr>
      <w:rPr>
        <w:rFonts w:ascii="Symbol" w:hAnsi="Symbol" w:hint="default"/>
      </w:rPr>
    </w:lvl>
    <w:lvl w:ilvl="1">
      <w:start w:val="1"/>
      <w:numFmt w:val="bullet"/>
      <w:lvlText w:val="o"/>
      <w:lvlJc w:val="left"/>
      <w:pPr>
        <w:ind w:left="2210" w:hanging="360"/>
      </w:pPr>
      <w:rPr>
        <w:rFonts w:ascii="Courier New" w:hAnsi="Courier New" w:cs="Courier New" w:hint="default"/>
      </w:rPr>
    </w:lvl>
    <w:lvl w:ilvl="2" w:tentative="1">
      <w:start w:val="1"/>
      <w:numFmt w:val="bullet"/>
      <w:lvlText w:val=""/>
      <w:lvlJc w:val="left"/>
      <w:pPr>
        <w:ind w:left="2930" w:hanging="360"/>
      </w:pPr>
      <w:rPr>
        <w:rFonts w:ascii="Wingdings" w:hAnsi="Wingdings" w:hint="default"/>
      </w:rPr>
    </w:lvl>
    <w:lvl w:ilvl="3" w:tentative="1">
      <w:start w:val="1"/>
      <w:numFmt w:val="bullet"/>
      <w:lvlText w:val=""/>
      <w:lvlJc w:val="left"/>
      <w:pPr>
        <w:ind w:left="3650" w:hanging="360"/>
      </w:pPr>
      <w:rPr>
        <w:rFonts w:ascii="Symbol" w:hAnsi="Symbol" w:hint="default"/>
      </w:rPr>
    </w:lvl>
    <w:lvl w:ilvl="4" w:tentative="1">
      <w:start w:val="1"/>
      <w:numFmt w:val="bullet"/>
      <w:lvlText w:val="o"/>
      <w:lvlJc w:val="left"/>
      <w:pPr>
        <w:ind w:left="4370" w:hanging="360"/>
      </w:pPr>
      <w:rPr>
        <w:rFonts w:ascii="Courier New" w:hAnsi="Courier New" w:cs="Courier New" w:hint="default"/>
      </w:rPr>
    </w:lvl>
    <w:lvl w:ilvl="5" w:tentative="1">
      <w:start w:val="1"/>
      <w:numFmt w:val="bullet"/>
      <w:lvlText w:val=""/>
      <w:lvlJc w:val="left"/>
      <w:pPr>
        <w:ind w:left="5090" w:hanging="360"/>
      </w:pPr>
      <w:rPr>
        <w:rFonts w:ascii="Wingdings" w:hAnsi="Wingdings" w:hint="default"/>
      </w:rPr>
    </w:lvl>
    <w:lvl w:ilvl="6" w:tentative="1">
      <w:start w:val="1"/>
      <w:numFmt w:val="bullet"/>
      <w:lvlText w:val=""/>
      <w:lvlJc w:val="left"/>
      <w:pPr>
        <w:ind w:left="5810" w:hanging="360"/>
      </w:pPr>
      <w:rPr>
        <w:rFonts w:ascii="Symbol" w:hAnsi="Symbol" w:hint="default"/>
      </w:rPr>
    </w:lvl>
    <w:lvl w:ilvl="7" w:tentative="1">
      <w:start w:val="1"/>
      <w:numFmt w:val="bullet"/>
      <w:lvlText w:val="o"/>
      <w:lvlJc w:val="left"/>
      <w:pPr>
        <w:ind w:left="6530" w:hanging="360"/>
      </w:pPr>
      <w:rPr>
        <w:rFonts w:ascii="Courier New" w:hAnsi="Courier New" w:cs="Courier New" w:hint="default"/>
      </w:rPr>
    </w:lvl>
    <w:lvl w:ilvl="8" w:tentative="1">
      <w:start w:val="1"/>
      <w:numFmt w:val="bullet"/>
      <w:lvlText w:val=""/>
      <w:lvlJc w:val="left"/>
      <w:pPr>
        <w:ind w:left="7250" w:hanging="360"/>
      </w:pPr>
      <w:rPr>
        <w:rFonts w:ascii="Wingdings" w:hAnsi="Wingdings" w:hint="default"/>
      </w:rPr>
    </w:lvl>
  </w:abstractNum>
  <w:abstractNum w:abstractNumId="37" w15:restartNumberingAfterBreak="0">
    <w:nsid w:val="6E2C590E"/>
    <w:multiLevelType w:val="hybridMultilevel"/>
    <w:tmpl w:val="6EFC1EFE"/>
    <w:lvl w:ilvl="0">
      <w:start w:val="0"/>
      <w:numFmt w:val="bullet"/>
      <w:lvlText w:val="•"/>
      <w:lvlJc w:val="left"/>
      <w:pPr>
        <w:ind w:left="1440" w:hanging="72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15:restartNumberingAfterBreak="0">
    <w:nsid w:val="703B611F"/>
    <w:multiLevelType w:val="multilevel"/>
    <w:tmpl w:val="67B27FC2"/>
    <w:lvl w:ilvl="0">
      <w:start w:val="1"/>
      <w:numFmt w:val="decimal"/>
      <w:lvlText w:val="%1.0"/>
      <w:lvlJc w:val="left"/>
      <w:pPr>
        <w:ind w:left="6480" w:hanging="360"/>
      </w:pPr>
      <w:rPr>
        <w:rFonts w:hint="default"/>
        <w:b/>
        <w:bCs/>
        <w:color w:val="365F91" w:themeColor="accent1" w:themeShade="BF"/>
      </w:rPr>
    </w:lvl>
    <w:lvl w:ilvl="1">
      <w:start w:val="1"/>
      <w:numFmt w:val="decimal"/>
      <w:lvlText w:val="%1.%2"/>
      <w:lvlJc w:val="left"/>
      <w:pPr>
        <w:ind w:left="990" w:hanging="360"/>
      </w:pPr>
      <w:rPr>
        <w:rFonts w:hint="default"/>
        <w:b/>
        <w:bCs/>
        <w:sz w:val="20"/>
        <w:szCs w:val="20"/>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0" w15:restartNumberingAfterBreak="0">
    <w:nsid w:val="76A74756"/>
    <w:multiLevelType w:val="hybridMultilevel"/>
    <w:tmpl w:val="FEA8285E"/>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41" w15:restartNumberingAfterBreak="0">
    <w:nsid w:val="79E764CE"/>
    <w:multiLevelType w:val="hybridMultilevel"/>
    <w:tmpl w:val="BFF839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6"/>
  </w:num>
  <w:num w:numId="2" w16cid:durableId="1289582430">
    <w:abstractNumId w:val="35"/>
  </w:num>
  <w:num w:numId="3" w16cid:durableId="1479885800">
    <w:abstractNumId w:val="1"/>
  </w:num>
  <w:num w:numId="4" w16cid:durableId="1457530301">
    <w:abstractNumId w:val="27"/>
  </w:num>
  <w:num w:numId="5" w16cid:durableId="1026715395">
    <w:abstractNumId w:val="29"/>
  </w:num>
  <w:num w:numId="6" w16cid:durableId="1148597849">
    <w:abstractNumId w:val="22"/>
  </w:num>
  <w:num w:numId="7" w16cid:durableId="1623464680">
    <w:abstractNumId w:val="42"/>
  </w:num>
  <w:num w:numId="8" w16cid:durableId="250703795">
    <w:abstractNumId w:val="38"/>
  </w:num>
  <w:num w:numId="9" w16cid:durableId="1344433153">
    <w:abstractNumId w:val="7"/>
  </w:num>
  <w:num w:numId="10" w16cid:durableId="500314971">
    <w:abstractNumId w:val="39"/>
  </w:num>
  <w:num w:numId="11" w16cid:durableId="115173825">
    <w:abstractNumId w:val="37"/>
  </w:num>
  <w:num w:numId="12" w16cid:durableId="652180580">
    <w:abstractNumId w:val="19"/>
  </w:num>
  <w:num w:numId="13" w16cid:durableId="40398731">
    <w:abstractNumId w:val="36"/>
  </w:num>
  <w:num w:numId="14" w16cid:durableId="180634398">
    <w:abstractNumId w:val="3"/>
  </w:num>
  <w:num w:numId="15" w16cid:durableId="1347713089">
    <w:abstractNumId w:val="41"/>
  </w:num>
  <w:num w:numId="16" w16cid:durableId="1550532373">
    <w:abstractNumId w:val="26"/>
  </w:num>
  <w:num w:numId="17" w16cid:durableId="327295984">
    <w:abstractNumId w:val="32"/>
  </w:num>
  <w:num w:numId="18" w16cid:durableId="1065376861">
    <w:abstractNumId w:val="4"/>
  </w:num>
  <w:num w:numId="19" w16cid:durableId="685715890">
    <w:abstractNumId w:val="21"/>
  </w:num>
  <w:num w:numId="20" w16cid:durableId="1062288142">
    <w:abstractNumId w:val="14"/>
  </w:num>
  <w:num w:numId="21" w16cid:durableId="1157116819">
    <w:abstractNumId w:val="20"/>
  </w:num>
  <w:num w:numId="22" w16cid:durableId="2065788441">
    <w:abstractNumId w:val="12"/>
  </w:num>
  <w:num w:numId="23" w16cid:durableId="1429693971">
    <w:abstractNumId w:val="5"/>
  </w:num>
  <w:num w:numId="24" w16cid:durableId="818688509">
    <w:abstractNumId w:val="23"/>
  </w:num>
  <w:num w:numId="25" w16cid:durableId="1194150504">
    <w:abstractNumId w:val="24"/>
  </w:num>
  <w:num w:numId="26" w16cid:durableId="215356754">
    <w:abstractNumId w:val="16"/>
  </w:num>
  <w:num w:numId="27" w16cid:durableId="392310995">
    <w:abstractNumId w:val="13"/>
  </w:num>
  <w:num w:numId="28" w16cid:durableId="58092713">
    <w:abstractNumId w:val="34"/>
  </w:num>
  <w:num w:numId="29" w16cid:durableId="977684081">
    <w:abstractNumId w:val="17"/>
  </w:num>
  <w:num w:numId="30" w16cid:durableId="1615551191">
    <w:abstractNumId w:val="11"/>
  </w:num>
  <w:num w:numId="31" w16cid:durableId="2108039410">
    <w:abstractNumId w:val="8"/>
  </w:num>
  <w:num w:numId="32" w16cid:durableId="200627416">
    <w:abstractNumId w:val="15"/>
  </w:num>
  <w:num w:numId="33" w16cid:durableId="1969773224">
    <w:abstractNumId w:val="10"/>
  </w:num>
  <w:num w:numId="34" w16cid:durableId="1050031103">
    <w:abstractNumId w:val="28"/>
  </w:num>
  <w:num w:numId="35" w16cid:durableId="745422801">
    <w:abstractNumId w:val="31"/>
  </w:num>
  <w:num w:numId="36" w16cid:durableId="495803875">
    <w:abstractNumId w:val="9"/>
  </w:num>
  <w:num w:numId="37" w16cid:durableId="468016749">
    <w:abstractNumId w:val="25"/>
  </w:num>
  <w:num w:numId="38" w16cid:durableId="135804647">
    <w:abstractNumId w:val="33"/>
  </w:num>
  <w:num w:numId="39" w16cid:durableId="1064640650">
    <w:abstractNumId w:val="40"/>
  </w:num>
  <w:num w:numId="40" w16cid:durableId="260336967">
    <w:abstractNumId w:val="2"/>
  </w:num>
  <w:num w:numId="41" w16cid:durableId="799228133">
    <w:abstractNumId w:val="30"/>
  </w:num>
  <w:num w:numId="42" w16cid:durableId="681080995">
    <w:abstractNumId w:val="0"/>
  </w:num>
  <w:num w:numId="43" w16cid:durableId="2027907189">
    <w:abstractNumId w:val="42"/>
  </w:num>
  <w:num w:numId="44" w16cid:durableId="242419985">
    <w:abstractNumId w:val="42"/>
  </w:num>
  <w:num w:numId="45" w16cid:durableId="74671592">
    <w:abstractNumId w:val="42"/>
  </w:num>
  <w:num w:numId="46" w16cid:durableId="935284831">
    <w:abstractNumId w:val="42"/>
  </w:num>
  <w:num w:numId="47" w16cid:durableId="1741169991">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758"/>
    <w:rsid w:val="00004B95"/>
    <w:rsid w:val="00004F04"/>
    <w:rsid w:val="000050D0"/>
    <w:rsid w:val="000058F3"/>
    <w:rsid w:val="00006B3C"/>
    <w:rsid w:val="00010B0E"/>
    <w:rsid w:val="00010D4A"/>
    <w:rsid w:val="00011C9A"/>
    <w:rsid w:val="0001221A"/>
    <w:rsid w:val="0001230E"/>
    <w:rsid w:val="0001254F"/>
    <w:rsid w:val="000147A2"/>
    <w:rsid w:val="000157E6"/>
    <w:rsid w:val="00015F3F"/>
    <w:rsid w:val="00016EA6"/>
    <w:rsid w:val="000213C0"/>
    <w:rsid w:val="000218E3"/>
    <w:rsid w:val="00021F2B"/>
    <w:rsid w:val="00023948"/>
    <w:rsid w:val="000248EC"/>
    <w:rsid w:val="00024A35"/>
    <w:rsid w:val="000268DE"/>
    <w:rsid w:val="00026ACE"/>
    <w:rsid w:val="000276AF"/>
    <w:rsid w:val="00031A18"/>
    <w:rsid w:val="000325E2"/>
    <w:rsid w:val="00032814"/>
    <w:rsid w:val="00032FE2"/>
    <w:rsid w:val="00033A7E"/>
    <w:rsid w:val="00034081"/>
    <w:rsid w:val="00034877"/>
    <w:rsid w:val="000368ED"/>
    <w:rsid w:val="000414B0"/>
    <w:rsid w:val="00041D62"/>
    <w:rsid w:val="00041E7A"/>
    <w:rsid w:val="00043F15"/>
    <w:rsid w:val="00044737"/>
    <w:rsid w:val="000447C2"/>
    <w:rsid w:val="00044F5D"/>
    <w:rsid w:val="00045952"/>
    <w:rsid w:val="0004646A"/>
    <w:rsid w:val="00047249"/>
    <w:rsid w:val="00050B29"/>
    <w:rsid w:val="00051C36"/>
    <w:rsid w:val="00051FF1"/>
    <w:rsid w:val="00052227"/>
    <w:rsid w:val="00053AE6"/>
    <w:rsid w:val="0005435C"/>
    <w:rsid w:val="000546C4"/>
    <w:rsid w:val="00057804"/>
    <w:rsid w:val="00060971"/>
    <w:rsid w:val="00062DAF"/>
    <w:rsid w:val="00064C1A"/>
    <w:rsid w:val="00071B28"/>
    <w:rsid w:val="00072B34"/>
    <w:rsid w:val="0007390F"/>
    <w:rsid w:val="00074B2F"/>
    <w:rsid w:val="00075BB8"/>
    <w:rsid w:val="000763DF"/>
    <w:rsid w:val="000765DA"/>
    <w:rsid w:val="0007688E"/>
    <w:rsid w:val="000800F8"/>
    <w:rsid w:val="00080AC9"/>
    <w:rsid w:val="00080E8A"/>
    <w:rsid w:val="00081824"/>
    <w:rsid w:val="00082237"/>
    <w:rsid w:val="00082C60"/>
    <w:rsid w:val="000838BF"/>
    <w:rsid w:val="00087375"/>
    <w:rsid w:val="00090030"/>
    <w:rsid w:val="0009534A"/>
    <w:rsid w:val="000966FE"/>
    <w:rsid w:val="0009692D"/>
    <w:rsid w:val="0009717D"/>
    <w:rsid w:val="00097908"/>
    <w:rsid w:val="000A0153"/>
    <w:rsid w:val="000A1DAF"/>
    <w:rsid w:val="000A2840"/>
    <w:rsid w:val="000A3FA0"/>
    <w:rsid w:val="000A50ED"/>
    <w:rsid w:val="000A5E51"/>
    <w:rsid w:val="000A6504"/>
    <w:rsid w:val="000A7E25"/>
    <w:rsid w:val="000B0238"/>
    <w:rsid w:val="000B0334"/>
    <w:rsid w:val="000B1591"/>
    <w:rsid w:val="000B4C88"/>
    <w:rsid w:val="000B714C"/>
    <w:rsid w:val="000C0189"/>
    <w:rsid w:val="000C1D37"/>
    <w:rsid w:val="000C3E72"/>
    <w:rsid w:val="000C574F"/>
    <w:rsid w:val="000C5F4A"/>
    <w:rsid w:val="000C7A92"/>
    <w:rsid w:val="000D0E68"/>
    <w:rsid w:val="000D1C89"/>
    <w:rsid w:val="000D27FB"/>
    <w:rsid w:val="000D31E8"/>
    <w:rsid w:val="000D4787"/>
    <w:rsid w:val="000D64CF"/>
    <w:rsid w:val="000D6C12"/>
    <w:rsid w:val="000D6CD5"/>
    <w:rsid w:val="000E0CAE"/>
    <w:rsid w:val="000E226E"/>
    <w:rsid w:val="000E350A"/>
    <w:rsid w:val="000E48B8"/>
    <w:rsid w:val="000E5EFF"/>
    <w:rsid w:val="000E61AA"/>
    <w:rsid w:val="000E7503"/>
    <w:rsid w:val="000E76F5"/>
    <w:rsid w:val="000E7C4D"/>
    <w:rsid w:val="000F0209"/>
    <w:rsid w:val="000F032D"/>
    <w:rsid w:val="000F1B02"/>
    <w:rsid w:val="000F69D3"/>
    <w:rsid w:val="000F7C3F"/>
    <w:rsid w:val="001005D9"/>
    <w:rsid w:val="00101999"/>
    <w:rsid w:val="00103082"/>
    <w:rsid w:val="0010327F"/>
    <w:rsid w:val="00105D79"/>
    <w:rsid w:val="00111D68"/>
    <w:rsid w:val="00112EA1"/>
    <w:rsid w:val="001142EB"/>
    <w:rsid w:val="001158BD"/>
    <w:rsid w:val="00115EC5"/>
    <w:rsid w:val="001163CC"/>
    <w:rsid w:val="001171A6"/>
    <w:rsid w:val="00117650"/>
    <w:rsid w:val="00117703"/>
    <w:rsid w:val="001243BC"/>
    <w:rsid w:val="00124654"/>
    <w:rsid w:val="001252EB"/>
    <w:rsid w:val="0012629D"/>
    <w:rsid w:val="00126645"/>
    <w:rsid w:val="00126F3D"/>
    <w:rsid w:val="0012719D"/>
    <w:rsid w:val="00130BB8"/>
    <w:rsid w:val="00132948"/>
    <w:rsid w:val="0013462B"/>
    <w:rsid w:val="00135A76"/>
    <w:rsid w:val="001377B2"/>
    <w:rsid w:val="00137C09"/>
    <w:rsid w:val="00141C0C"/>
    <w:rsid w:val="00141C65"/>
    <w:rsid w:val="001424E2"/>
    <w:rsid w:val="001426D8"/>
    <w:rsid w:val="001433C2"/>
    <w:rsid w:val="00143E85"/>
    <w:rsid w:val="00144526"/>
    <w:rsid w:val="00145899"/>
    <w:rsid w:val="001458F3"/>
    <w:rsid w:val="001465B7"/>
    <w:rsid w:val="00146FB0"/>
    <w:rsid w:val="00151D0F"/>
    <w:rsid w:val="00152067"/>
    <w:rsid w:val="0015359D"/>
    <w:rsid w:val="00154494"/>
    <w:rsid w:val="001562A5"/>
    <w:rsid w:val="00156327"/>
    <w:rsid w:val="00156662"/>
    <w:rsid w:val="00162C3D"/>
    <w:rsid w:val="00163236"/>
    <w:rsid w:val="00163B9F"/>
    <w:rsid w:val="00164149"/>
    <w:rsid w:val="00164FC5"/>
    <w:rsid w:val="00165122"/>
    <w:rsid w:val="0017042A"/>
    <w:rsid w:val="00171059"/>
    <w:rsid w:val="00171D31"/>
    <w:rsid w:val="00173605"/>
    <w:rsid w:val="00173B2B"/>
    <w:rsid w:val="001761A0"/>
    <w:rsid w:val="00177083"/>
    <w:rsid w:val="00177AC6"/>
    <w:rsid w:val="00177C10"/>
    <w:rsid w:val="00180611"/>
    <w:rsid w:val="00180CE2"/>
    <w:rsid w:val="00182159"/>
    <w:rsid w:val="00183426"/>
    <w:rsid w:val="00184CFD"/>
    <w:rsid w:val="00186BCB"/>
    <w:rsid w:val="001873FB"/>
    <w:rsid w:val="001875B9"/>
    <w:rsid w:val="00187CFA"/>
    <w:rsid w:val="00190E1C"/>
    <w:rsid w:val="00191EB4"/>
    <w:rsid w:val="0019604E"/>
    <w:rsid w:val="001974BF"/>
    <w:rsid w:val="00197BD9"/>
    <w:rsid w:val="001A040A"/>
    <w:rsid w:val="001A1981"/>
    <w:rsid w:val="001A1F50"/>
    <w:rsid w:val="001A2BCF"/>
    <w:rsid w:val="001A4E6D"/>
    <w:rsid w:val="001A65D4"/>
    <w:rsid w:val="001A6664"/>
    <w:rsid w:val="001B0907"/>
    <w:rsid w:val="001B1411"/>
    <w:rsid w:val="001B363A"/>
    <w:rsid w:val="001B4B35"/>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05B"/>
    <w:rsid w:val="001E0B69"/>
    <w:rsid w:val="001E2903"/>
    <w:rsid w:val="001E66A1"/>
    <w:rsid w:val="001F147E"/>
    <w:rsid w:val="001F14C9"/>
    <w:rsid w:val="001F2229"/>
    <w:rsid w:val="001F3EF4"/>
    <w:rsid w:val="001F40F6"/>
    <w:rsid w:val="001F45AD"/>
    <w:rsid w:val="001F4B92"/>
    <w:rsid w:val="001F645F"/>
    <w:rsid w:val="001F64A9"/>
    <w:rsid w:val="001F754D"/>
    <w:rsid w:val="001F7E91"/>
    <w:rsid w:val="0020028F"/>
    <w:rsid w:val="002017BC"/>
    <w:rsid w:val="00201B41"/>
    <w:rsid w:val="00201C64"/>
    <w:rsid w:val="002023F5"/>
    <w:rsid w:val="00202C4E"/>
    <w:rsid w:val="002046B8"/>
    <w:rsid w:val="00204F10"/>
    <w:rsid w:val="00205EFE"/>
    <w:rsid w:val="00206690"/>
    <w:rsid w:val="00207563"/>
    <w:rsid w:val="002100F2"/>
    <w:rsid w:val="002106A8"/>
    <w:rsid w:val="00210E38"/>
    <w:rsid w:val="00210F37"/>
    <w:rsid w:val="002121BB"/>
    <w:rsid w:val="002130D2"/>
    <w:rsid w:val="002146E6"/>
    <w:rsid w:val="002153CB"/>
    <w:rsid w:val="00220209"/>
    <w:rsid w:val="00220937"/>
    <w:rsid w:val="00221D92"/>
    <w:rsid w:val="00222BCB"/>
    <w:rsid w:val="00223FDE"/>
    <w:rsid w:val="0022598B"/>
    <w:rsid w:val="00225FFD"/>
    <w:rsid w:val="002267D1"/>
    <w:rsid w:val="00227075"/>
    <w:rsid w:val="00227CE9"/>
    <w:rsid w:val="00230FAA"/>
    <w:rsid w:val="0023220D"/>
    <w:rsid w:val="0023230D"/>
    <w:rsid w:val="0023520D"/>
    <w:rsid w:val="00235684"/>
    <w:rsid w:val="0023629E"/>
    <w:rsid w:val="002373A7"/>
    <w:rsid w:val="00237D7E"/>
    <w:rsid w:val="00240ED0"/>
    <w:rsid w:val="00241A4B"/>
    <w:rsid w:val="00242272"/>
    <w:rsid w:val="002422EA"/>
    <w:rsid w:val="002442A1"/>
    <w:rsid w:val="00245726"/>
    <w:rsid w:val="00246B3D"/>
    <w:rsid w:val="002476EC"/>
    <w:rsid w:val="002478EB"/>
    <w:rsid w:val="0025006B"/>
    <w:rsid w:val="00250327"/>
    <w:rsid w:val="00252658"/>
    <w:rsid w:val="00252BD7"/>
    <w:rsid w:val="00253902"/>
    <w:rsid w:val="002539BC"/>
    <w:rsid w:val="00253C93"/>
    <w:rsid w:val="002550E4"/>
    <w:rsid w:val="00255359"/>
    <w:rsid w:val="00256623"/>
    <w:rsid w:val="0025701C"/>
    <w:rsid w:val="0026089D"/>
    <w:rsid w:val="00261D79"/>
    <w:rsid w:val="00262222"/>
    <w:rsid w:val="002633AA"/>
    <w:rsid w:val="002633B7"/>
    <w:rsid w:val="00263EA6"/>
    <w:rsid w:val="00264CDF"/>
    <w:rsid w:val="00266C98"/>
    <w:rsid w:val="00267874"/>
    <w:rsid w:val="00270910"/>
    <w:rsid w:val="00271F05"/>
    <w:rsid w:val="00271F83"/>
    <w:rsid w:val="00272A83"/>
    <w:rsid w:val="00273B9A"/>
    <w:rsid w:val="00275DEF"/>
    <w:rsid w:val="002761E6"/>
    <w:rsid w:val="00277BC2"/>
    <w:rsid w:val="0028187D"/>
    <w:rsid w:val="00282C9E"/>
    <w:rsid w:val="0028447C"/>
    <w:rsid w:val="0028463A"/>
    <w:rsid w:val="00286466"/>
    <w:rsid w:val="002867DA"/>
    <w:rsid w:val="00286C32"/>
    <w:rsid w:val="002875E0"/>
    <w:rsid w:val="00287AAA"/>
    <w:rsid w:val="002901B7"/>
    <w:rsid w:val="00291F63"/>
    <w:rsid w:val="00291FF2"/>
    <w:rsid w:val="00292828"/>
    <w:rsid w:val="0029393D"/>
    <w:rsid w:val="00295AC9"/>
    <w:rsid w:val="00296545"/>
    <w:rsid w:val="002A064F"/>
    <w:rsid w:val="002A1485"/>
    <w:rsid w:val="002A476D"/>
    <w:rsid w:val="002A4F44"/>
    <w:rsid w:val="002A5110"/>
    <w:rsid w:val="002A54B1"/>
    <w:rsid w:val="002A6577"/>
    <w:rsid w:val="002A6B19"/>
    <w:rsid w:val="002A6E40"/>
    <w:rsid w:val="002B110C"/>
    <w:rsid w:val="002B20F0"/>
    <w:rsid w:val="002B28E3"/>
    <w:rsid w:val="002B521A"/>
    <w:rsid w:val="002B627B"/>
    <w:rsid w:val="002C146B"/>
    <w:rsid w:val="002C1D2E"/>
    <w:rsid w:val="002C43E6"/>
    <w:rsid w:val="002C5A6C"/>
    <w:rsid w:val="002C67AF"/>
    <w:rsid w:val="002C786A"/>
    <w:rsid w:val="002D00C7"/>
    <w:rsid w:val="002D03B1"/>
    <w:rsid w:val="002D0EC9"/>
    <w:rsid w:val="002D1E4F"/>
    <w:rsid w:val="002D2287"/>
    <w:rsid w:val="002D3192"/>
    <w:rsid w:val="002D528B"/>
    <w:rsid w:val="002D561C"/>
    <w:rsid w:val="002D595C"/>
    <w:rsid w:val="002E31B1"/>
    <w:rsid w:val="002E511E"/>
    <w:rsid w:val="002E6EC7"/>
    <w:rsid w:val="002E77C3"/>
    <w:rsid w:val="002F1762"/>
    <w:rsid w:val="002F2208"/>
    <w:rsid w:val="002F4F7B"/>
    <w:rsid w:val="002F6311"/>
    <w:rsid w:val="002F754F"/>
    <w:rsid w:val="00301C42"/>
    <w:rsid w:val="00303150"/>
    <w:rsid w:val="003032F3"/>
    <w:rsid w:val="00303B47"/>
    <w:rsid w:val="00303BC5"/>
    <w:rsid w:val="00303F7C"/>
    <w:rsid w:val="00304BEC"/>
    <w:rsid w:val="003056B0"/>
    <w:rsid w:val="003063F8"/>
    <w:rsid w:val="00306ADF"/>
    <w:rsid w:val="00311CBB"/>
    <w:rsid w:val="00312454"/>
    <w:rsid w:val="003133FC"/>
    <w:rsid w:val="00313C4F"/>
    <w:rsid w:val="00314D37"/>
    <w:rsid w:val="0031597C"/>
    <w:rsid w:val="00317B85"/>
    <w:rsid w:val="00317F58"/>
    <w:rsid w:val="003226A5"/>
    <w:rsid w:val="00322AF8"/>
    <w:rsid w:val="003230D6"/>
    <w:rsid w:val="00327E28"/>
    <w:rsid w:val="003320C2"/>
    <w:rsid w:val="00332DB0"/>
    <w:rsid w:val="00333DD7"/>
    <w:rsid w:val="00334BE8"/>
    <w:rsid w:val="003353AA"/>
    <w:rsid w:val="00335D07"/>
    <w:rsid w:val="00336760"/>
    <w:rsid w:val="00340753"/>
    <w:rsid w:val="003409A0"/>
    <w:rsid w:val="00343231"/>
    <w:rsid w:val="0034377A"/>
    <w:rsid w:val="00346129"/>
    <w:rsid w:val="00346954"/>
    <w:rsid w:val="00347500"/>
    <w:rsid w:val="003504B0"/>
    <w:rsid w:val="0035124C"/>
    <w:rsid w:val="0035264A"/>
    <w:rsid w:val="0035349C"/>
    <w:rsid w:val="0035454F"/>
    <w:rsid w:val="00354754"/>
    <w:rsid w:val="00355638"/>
    <w:rsid w:val="0035607C"/>
    <w:rsid w:val="00356A51"/>
    <w:rsid w:val="00356FD8"/>
    <w:rsid w:val="00357FA1"/>
    <w:rsid w:val="00360AAE"/>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0C6"/>
    <w:rsid w:val="0038398C"/>
    <w:rsid w:val="00383F1F"/>
    <w:rsid w:val="003843DA"/>
    <w:rsid w:val="003846C1"/>
    <w:rsid w:val="00384DEE"/>
    <w:rsid w:val="0038548D"/>
    <w:rsid w:val="003854A8"/>
    <w:rsid w:val="00386CDA"/>
    <w:rsid w:val="003878F8"/>
    <w:rsid w:val="00390A24"/>
    <w:rsid w:val="00390BFB"/>
    <w:rsid w:val="0039108C"/>
    <w:rsid w:val="00391C72"/>
    <w:rsid w:val="00391CAB"/>
    <w:rsid w:val="003929D3"/>
    <w:rsid w:val="003940F9"/>
    <w:rsid w:val="00394E57"/>
    <w:rsid w:val="00397A8D"/>
    <w:rsid w:val="00397D91"/>
    <w:rsid w:val="003A00A6"/>
    <w:rsid w:val="003A0DC7"/>
    <w:rsid w:val="003A336B"/>
    <w:rsid w:val="003A35B5"/>
    <w:rsid w:val="003A383F"/>
    <w:rsid w:val="003A39F8"/>
    <w:rsid w:val="003A4742"/>
    <w:rsid w:val="003A6D5F"/>
    <w:rsid w:val="003B0311"/>
    <w:rsid w:val="003B4109"/>
    <w:rsid w:val="003B45E1"/>
    <w:rsid w:val="003B483A"/>
    <w:rsid w:val="003B5BE0"/>
    <w:rsid w:val="003B77AA"/>
    <w:rsid w:val="003C2F37"/>
    <w:rsid w:val="003C36BD"/>
    <w:rsid w:val="003C5748"/>
    <w:rsid w:val="003C671E"/>
    <w:rsid w:val="003C78B1"/>
    <w:rsid w:val="003C78F7"/>
    <w:rsid w:val="003C7CE8"/>
    <w:rsid w:val="003D07AC"/>
    <w:rsid w:val="003D26F6"/>
    <w:rsid w:val="003D271F"/>
    <w:rsid w:val="003D329E"/>
    <w:rsid w:val="003D40AF"/>
    <w:rsid w:val="003D680E"/>
    <w:rsid w:val="003D77BA"/>
    <w:rsid w:val="003E0D57"/>
    <w:rsid w:val="003E1101"/>
    <w:rsid w:val="003E140B"/>
    <w:rsid w:val="003E196A"/>
    <w:rsid w:val="003E2411"/>
    <w:rsid w:val="003E31E5"/>
    <w:rsid w:val="003E5697"/>
    <w:rsid w:val="003E5735"/>
    <w:rsid w:val="003E7736"/>
    <w:rsid w:val="003E7857"/>
    <w:rsid w:val="003E7E75"/>
    <w:rsid w:val="003F2823"/>
    <w:rsid w:val="003F3147"/>
    <w:rsid w:val="003F325B"/>
    <w:rsid w:val="003F5B0D"/>
    <w:rsid w:val="003F5C45"/>
    <w:rsid w:val="003F5FD9"/>
    <w:rsid w:val="003F662D"/>
    <w:rsid w:val="003F6BE5"/>
    <w:rsid w:val="00400065"/>
    <w:rsid w:val="00402C6F"/>
    <w:rsid w:val="00402DB6"/>
    <w:rsid w:val="00403230"/>
    <w:rsid w:val="00404C3E"/>
    <w:rsid w:val="00406008"/>
    <w:rsid w:val="0041141F"/>
    <w:rsid w:val="00411912"/>
    <w:rsid w:val="004135B1"/>
    <w:rsid w:val="00414CC0"/>
    <w:rsid w:val="004150A9"/>
    <w:rsid w:val="004151AE"/>
    <w:rsid w:val="00416904"/>
    <w:rsid w:val="004170BC"/>
    <w:rsid w:val="004170DA"/>
    <w:rsid w:val="00417E40"/>
    <w:rsid w:val="00420D0C"/>
    <w:rsid w:val="00421B34"/>
    <w:rsid w:val="004230EC"/>
    <w:rsid w:val="00423574"/>
    <w:rsid w:val="00430578"/>
    <w:rsid w:val="00432230"/>
    <w:rsid w:val="0043364A"/>
    <w:rsid w:val="00433CEA"/>
    <w:rsid w:val="00434BEC"/>
    <w:rsid w:val="00434E8E"/>
    <w:rsid w:val="00435682"/>
    <w:rsid w:val="00436B3F"/>
    <w:rsid w:val="00436B7C"/>
    <w:rsid w:val="00441974"/>
    <w:rsid w:val="00441E58"/>
    <w:rsid w:val="0044241A"/>
    <w:rsid w:val="0044241D"/>
    <w:rsid w:val="00443795"/>
    <w:rsid w:val="00444895"/>
    <w:rsid w:val="00445DD4"/>
    <w:rsid w:val="00450133"/>
    <w:rsid w:val="00452BBE"/>
    <w:rsid w:val="00452DCD"/>
    <w:rsid w:val="0045393F"/>
    <w:rsid w:val="00454652"/>
    <w:rsid w:val="00454E28"/>
    <w:rsid w:val="00456B1E"/>
    <w:rsid w:val="00456CEE"/>
    <w:rsid w:val="00456E39"/>
    <w:rsid w:val="00457B68"/>
    <w:rsid w:val="00462866"/>
    <w:rsid w:val="00462DDD"/>
    <w:rsid w:val="00463782"/>
    <w:rsid w:val="00464B34"/>
    <w:rsid w:val="0046638E"/>
    <w:rsid w:val="00466DB0"/>
    <w:rsid w:val="00470035"/>
    <w:rsid w:val="004707C1"/>
    <w:rsid w:val="0047348F"/>
    <w:rsid w:val="00475615"/>
    <w:rsid w:val="00476276"/>
    <w:rsid w:val="00476F57"/>
    <w:rsid w:val="004773EB"/>
    <w:rsid w:val="00477589"/>
    <w:rsid w:val="00480E85"/>
    <w:rsid w:val="00481178"/>
    <w:rsid w:val="00481759"/>
    <w:rsid w:val="0048264C"/>
    <w:rsid w:val="004829E4"/>
    <w:rsid w:val="00483BAB"/>
    <w:rsid w:val="00485D13"/>
    <w:rsid w:val="0048727B"/>
    <w:rsid w:val="00487D39"/>
    <w:rsid w:val="00490951"/>
    <w:rsid w:val="00491760"/>
    <w:rsid w:val="00492040"/>
    <w:rsid w:val="00493BBC"/>
    <w:rsid w:val="004942F0"/>
    <w:rsid w:val="00496F52"/>
    <w:rsid w:val="004971D2"/>
    <w:rsid w:val="004A0E6E"/>
    <w:rsid w:val="004A1348"/>
    <w:rsid w:val="004A1AA3"/>
    <w:rsid w:val="004A32DE"/>
    <w:rsid w:val="004A3AD3"/>
    <w:rsid w:val="004A4CDA"/>
    <w:rsid w:val="004A5884"/>
    <w:rsid w:val="004A6958"/>
    <w:rsid w:val="004A7255"/>
    <w:rsid w:val="004A7959"/>
    <w:rsid w:val="004B2120"/>
    <w:rsid w:val="004B22F1"/>
    <w:rsid w:val="004B2FCA"/>
    <w:rsid w:val="004B377F"/>
    <w:rsid w:val="004B49EF"/>
    <w:rsid w:val="004B571E"/>
    <w:rsid w:val="004C040F"/>
    <w:rsid w:val="004C210A"/>
    <w:rsid w:val="004C2194"/>
    <w:rsid w:val="004C27B1"/>
    <w:rsid w:val="004C36AF"/>
    <w:rsid w:val="004C3AF8"/>
    <w:rsid w:val="004C5193"/>
    <w:rsid w:val="004C54AF"/>
    <w:rsid w:val="004C6AC0"/>
    <w:rsid w:val="004C7345"/>
    <w:rsid w:val="004D0276"/>
    <w:rsid w:val="004D09EF"/>
    <w:rsid w:val="004D0B0B"/>
    <w:rsid w:val="004D0FD1"/>
    <w:rsid w:val="004D706F"/>
    <w:rsid w:val="004D7A6E"/>
    <w:rsid w:val="004E0D5C"/>
    <w:rsid w:val="004E0F9B"/>
    <w:rsid w:val="004E1460"/>
    <w:rsid w:val="004E150A"/>
    <w:rsid w:val="004E1AE1"/>
    <w:rsid w:val="004E27A3"/>
    <w:rsid w:val="004E5180"/>
    <w:rsid w:val="004E594B"/>
    <w:rsid w:val="004E6561"/>
    <w:rsid w:val="004E699F"/>
    <w:rsid w:val="004E797C"/>
    <w:rsid w:val="004F18C3"/>
    <w:rsid w:val="004F207A"/>
    <w:rsid w:val="004F224A"/>
    <w:rsid w:val="004F22B1"/>
    <w:rsid w:val="004F26BA"/>
    <w:rsid w:val="005003EF"/>
    <w:rsid w:val="00500740"/>
    <w:rsid w:val="005007FA"/>
    <w:rsid w:val="00500963"/>
    <w:rsid w:val="00502AB2"/>
    <w:rsid w:val="005039E2"/>
    <w:rsid w:val="005047DF"/>
    <w:rsid w:val="005057A7"/>
    <w:rsid w:val="005057AB"/>
    <w:rsid w:val="005070E1"/>
    <w:rsid w:val="0050728F"/>
    <w:rsid w:val="00507373"/>
    <w:rsid w:val="00507E98"/>
    <w:rsid w:val="00507FA1"/>
    <w:rsid w:val="005103C0"/>
    <w:rsid w:val="0051133A"/>
    <w:rsid w:val="005113AB"/>
    <w:rsid w:val="00511829"/>
    <w:rsid w:val="0051312B"/>
    <w:rsid w:val="00515289"/>
    <w:rsid w:val="00515BE6"/>
    <w:rsid w:val="00516E05"/>
    <w:rsid w:val="005175C6"/>
    <w:rsid w:val="00520EEB"/>
    <w:rsid w:val="0052358D"/>
    <w:rsid w:val="00523E75"/>
    <w:rsid w:val="005246EB"/>
    <w:rsid w:val="00527DB8"/>
    <w:rsid w:val="00530AE8"/>
    <w:rsid w:val="00530CFE"/>
    <w:rsid w:val="00532881"/>
    <w:rsid w:val="00533AD8"/>
    <w:rsid w:val="00534DC9"/>
    <w:rsid w:val="005351FA"/>
    <w:rsid w:val="005356F2"/>
    <w:rsid w:val="005374D7"/>
    <w:rsid w:val="00541855"/>
    <w:rsid w:val="00541D99"/>
    <w:rsid w:val="00542A41"/>
    <w:rsid w:val="005437D9"/>
    <w:rsid w:val="00543B85"/>
    <w:rsid w:val="005440F5"/>
    <w:rsid w:val="00545D9C"/>
    <w:rsid w:val="005462B0"/>
    <w:rsid w:val="005465A0"/>
    <w:rsid w:val="00547528"/>
    <w:rsid w:val="005501F6"/>
    <w:rsid w:val="0055233F"/>
    <w:rsid w:val="005527FE"/>
    <w:rsid w:val="00553814"/>
    <w:rsid w:val="005540A1"/>
    <w:rsid w:val="00554342"/>
    <w:rsid w:val="0055459C"/>
    <w:rsid w:val="005550EB"/>
    <w:rsid w:val="00555676"/>
    <w:rsid w:val="00555D22"/>
    <w:rsid w:val="005565B5"/>
    <w:rsid w:val="00560D34"/>
    <w:rsid w:val="00562F4D"/>
    <w:rsid w:val="00563045"/>
    <w:rsid w:val="005659A7"/>
    <w:rsid w:val="0056698A"/>
    <w:rsid w:val="00571156"/>
    <w:rsid w:val="0057323E"/>
    <w:rsid w:val="0057524F"/>
    <w:rsid w:val="00575B4E"/>
    <w:rsid w:val="00576C8B"/>
    <w:rsid w:val="00581A4C"/>
    <w:rsid w:val="00581CEA"/>
    <w:rsid w:val="00582CD5"/>
    <w:rsid w:val="00584A9B"/>
    <w:rsid w:val="00584E14"/>
    <w:rsid w:val="00586F6A"/>
    <w:rsid w:val="00587A10"/>
    <w:rsid w:val="00591087"/>
    <w:rsid w:val="005912E4"/>
    <w:rsid w:val="00595BD0"/>
    <w:rsid w:val="00595CA4"/>
    <w:rsid w:val="00595FF5"/>
    <w:rsid w:val="00597D5A"/>
    <w:rsid w:val="005A04CC"/>
    <w:rsid w:val="005A18FD"/>
    <w:rsid w:val="005A1AD7"/>
    <w:rsid w:val="005A21C3"/>
    <w:rsid w:val="005A30D0"/>
    <w:rsid w:val="005A464A"/>
    <w:rsid w:val="005A5593"/>
    <w:rsid w:val="005A5BA6"/>
    <w:rsid w:val="005B115A"/>
    <w:rsid w:val="005B138B"/>
    <w:rsid w:val="005B3B43"/>
    <w:rsid w:val="005B4188"/>
    <w:rsid w:val="005B5BB2"/>
    <w:rsid w:val="005B5E0C"/>
    <w:rsid w:val="005B70C4"/>
    <w:rsid w:val="005B7214"/>
    <w:rsid w:val="005C2626"/>
    <w:rsid w:val="005C308F"/>
    <w:rsid w:val="005C3719"/>
    <w:rsid w:val="005C3D27"/>
    <w:rsid w:val="005C4E4F"/>
    <w:rsid w:val="005C572B"/>
    <w:rsid w:val="005C6D0C"/>
    <w:rsid w:val="005C772A"/>
    <w:rsid w:val="005D10BE"/>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29CE"/>
    <w:rsid w:val="00603FD6"/>
    <w:rsid w:val="00604378"/>
    <w:rsid w:val="006049BA"/>
    <w:rsid w:val="00604EBD"/>
    <w:rsid w:val="006055A6"/>
    <w:rsid w:val="00606346"/>
    <w:rsid w:val="006066ED"/>
    <w:rsid w:val="00607DBD"/>
    <w:rsid w:val="00610802"/>
    <w:rsid w:val="00610D76"/>
    <w:rsid w:val="00610DD1"/>
    <w:rsid w:val="00611EF6"/>
    <w:rsid w:val="00612C72"/>
    <w:rsid w:val="0061379C"/>
    <w:rsid w:val="00614870"/>
    <w:rsid w:val="00615F4D"/>
    <w:rsid w:val="006161C7"/>
    <w:rsid w:val="0061650D"/>
    <w:rsid w:val="00616F6A"/>
    <w:rsid w:val="00617185"/>
    <w:rsid w:val="00617AC4"/>
    <w:rsid w:val="00623D38"/>
    <w:rsid w:val="006269B3"/>
    <w:rsid w:val="006314BA"/>
    <w:rsid w:val="00631C48"/>
    <w:rsid w:val="00631EE8"/>
    <w:rsid w:val="006327ED"/>
    <w:rsid w:val="0063484E"/>
    <w:rsid w:val="00636E50"/>
    <w:rsid w:val="00641FF8"/>
    <w:rsid w:val="00642E5E"/>
    <w:rsid w:val="006438C6"/>
    <w:rsid w:val="0064590D"/>
    <w:rsid w:val="00645AB7"/>
    <w:rsid w:val="00645C38"/>
    <w:rsid w:val="00645EB6"/>
    <w:rsid w:val="00646936"/>
    <w:rsid w:val="00647D51"/>
    <w:rsid w:val="00652DA2"/>
    <w:rsid w:val="006546EA"/>
    <w:rsid w:val="006570B8"/>
    <w:rsid w:val="00662152"/>
    <w:rsid w:val="00664FF6"/>
    <w:rsid w:val="00665200"/>
    <w:rsid w:val="00665E32"/>
    <w:rsid w:val="006669DA"/>
    <w:rsid w:val="00667ECB"/>
    <w:rsid w:val="006703FE"/>
    <w:rsid w:val="00671143"/>
    <w:rsid w:val="00673378"/>
    <w:rsid w:val="00673FFA"/>
    <w:rsid w:val="00676E1A"/>
    <w:rsid w:val="006805C2"/>
    <w:rsid w:val="0068355F"/>
    <w:rsid w:val="00684F3D"/>
    <w:rsid w:val="00685E20"/>
    <w:rsid w:val="006863D6"/>
    <w:rsid w:val="006901E5"/>
    <w:rsid w:val="0069038B"/>
    <w:rsid w:val="00690EB2"/>
    <w:rsid w:val="00692284"/>
    <w:rsid w:val="006929A6"/>
    <w:rsid w:val="00692ED9"/>
    <w:rsid w:val="00693504"/>
    <w:rsid w:val="006947D1"/>
    <w:rsid w:val="006973AA"/>
    <w:rsid w:val="006A1739"/>
    <w:rsid w:val="006A3426"/>
    <w:rsid w:val="006A5839"/>
    <w:rsid w:val="006B2178"/>
    <w:rsid w:val="006B2828"/>
    <w:rsid w:val="006B39EF"/>
    <w:rsid w:val="006B3C9C"/>
    <w:rsid w:val="006B5C0B"/>
    <w:rsid w:val="006B6937"/>
    <w:rsid w:val="006B6F62"/>
    <w:rsid w:val="006B75D3"/>
    <w:rsid w:val="006C1648"/>
    <w:rsid w:val="006C32E5"/>
    <w:rsid w:val="006C34CF"/>
    <w:rsid w:val="006C4D08"/>
    <w:rsid w:val="006C6216"/>
    <w:rsid w:val="006C7C00"/>
    <w:rsid w:val="006D064E"/>
    <w:rsid w:val="006D1377"/>
    <w:rsid w:val="006D1598"/>
    <w:rsid w:val="006D5DAE"/>
    <w:rsid w:val="006D7394"/>
    <w:rsid w:val="006D7C17"/>
    <w:rsid w:val="006E106B"/>
    <w:rsid w:val="006E15FE"/>
    <w:rsid w:val="006E1779"/>
    <w:rsid w:val="006E2A44"/>
    <w:rsid w:val="006E32DD"/>
    <w:rsid w:val="006E35CD"/>
    <w:rsid w:val="006E6859"/>
    <w:rsid w:val="006E7DAF"/>
    <w:rsid w:val="006F11A4"/>
    <w:rsid w:val="006F2722"/>
    <w:rsid w:val="006F66CD"/>
    <w:rsid w:val="006F66EA"/>
    <w:rsid w:val="006F6E14"/>
    <w:rsid w:val="006F715B"/>
    <w:rsid w:val="007007FC"/>
    <w:rsid w:val="00701AD9"/>
    <w:rsid w:val="007029C6"/>
    <w:rsid w:val="007029F2"/>
    <w:rsid w:val="00702A83"/>
    <w:rsid w:val="00703BCE"/>
    <w:rsid w:val="0070433F"/>
    <w:rsid w:val="007043A1"/>
    <w:rsid w:val="007043FF"/>
    <w:rsid w:val="0070506E"/>
    <w:rsid w:val="00705B46"/>
    <w:rsid w:val="00706E08"/>
    <w:rsid w:val="00707E72"/>
    <w:rsid w:val="007103B3"/>
    <w:rsid w:val="00710DE0"/>
    <w:rsid w:val="007121B2"/>
    <w:rsid w:val="00714143"/>
    <w:rsid w:val="0071431D"/>
    <w:rsid w:val="00714BE6"/>
    <w:rsid w:val="00715819"/>
    <w:rsid w:val="00715E01"/>
    <w:rsid w:val="00716D73"/>
    <w:rsid w:val="0072225D"/>
    <w:rsid w:val="00722435"/>
    <w:rsid w:val="007240D8"/>
    <w:rsid w:val="007261AB"/>
    <w:rsid w:val="00730A24"/>
    <w:rsid w:val="00730C37"/>
    <w:rsid w:val="007314A9"/>
    <w:rsid w:val="0073218D"/>
    <w:rsid w:val="007324AA"/>
    <w:rsid w:val="0073639B"/>
    <w:rsid w:val="007370CD"/>
    <w:rsid w:val="00740573"/>
    <w:rsid w:val="007437CA"/>
    <w:rsid w:val="007448FC"/>
    <w:rsid w:val="00745950"/>
    <w:rsid w:val="00746086"/>
    <w:rsid w:val="00746A5A"/>
    <w:rsid w:val="00750204"/>
    <w:rsid w:val="00751D5B"/>
    <w:rsid w:val="00753C87"/>
    <w:rsid w:val="00754222"/>
    <w:rsid w:val="0075438A"/>
    <w:rsid w:val="00754DF2"/>
    <w:rsid w:val="00754E1F"/>
    <w:rsid w:val="00755024"/>
    <w:rsid w:val="007555DC"/>
    <w:rsid w:val="007567F9"/>
    <w:rsid w:val="00756876"/>
    <w:rsid w:val="00756E3B"/>
    <w:rsid w:val="0075711E"/>
    <w:rsid w:val="00757FE9"/>
    <w:rsid w:val="0076002E"/>
    <w:rsid w:val="00760271"/>
    <w:rsid w:val="007610D7"/>
    <w:rsid w:val="00761AA4"/>
    <w:rsid w:val="007626E1"/>
    <w:rsid w:val="00762A94"/>
    <w:rsid w:val="00762BEC"/>
    <w:rsid w:val="0076304C"/>
    <w:rsid w:val="007632A7"/>
    <w:rsid w:val="007642C7"/>
    <w:rsid w:val="00764CC3"/>
    <w:rsid w:val="00772A25"/>
    <w:rsid w:val="00772E2E"/>
    <w:rsid w:val="00775334"/>
    <w:rsid w:val="00775EF9"/>
    <w:rsid w:val="007838EB"/>
    <w:rsid w:val="00785F68"/>
    <w:rsid w:val="00787B9F"/>
    <w:rsid w:val="007930A1"/>
    <w:rsid w:val="0079426F"/>
    <w:rsid w:val="0079469D"/>
    <w:rsid w:val="00795437"/>
    <w:rsid w:val="007955B8"/>
    <w:rsid w:val="00795F40"/>
    <w:rsid w:val="00796BE2"/>
    <w:rsid w:val="007976FA"/>
    <w:rsid w:val="007A15D6"/>
    <w:rsid w:val="007A44A1"/>
    <w:rsid w:val="007A4604"/>
    <w:rsid w:val="007A5446"/>
    <w:rsid w:val="007A70EC"/>
    <w:rsid w:val="007A74C3"/>
    <w:rsid w:val="007B137C"/>
    <w:rsid w:val="007B147E"/>
    <w:rsid w:val="007B1EC9"/>
    <w:rsid w:val="007B2CA9"/>
    <w:rsid w:val="007B4950"/>
    <w:rsid w:val="007B5A2F"/>
    <w:rsid w:val="007B5CF2"/>
    <w:rsid w:val="007B711F"/>
    <w:rsid w:val="007B751B"/>
    <w:rsid w:val="007B76A8"/>
    <w:rsid w:val="007C0BFF"/>
    <w:rsid w:val="007C1C5E"/>
    <w:rsid w:val="007C357C"/>
    <w:rsid w:val="007C3CEF"/>
    <w:rsid w:val="007C6379"/>
    <w:rsid w:val="007C7225"/>
    <w:rsid w:val="007C7903"/>
    <w:rsid w:val="007D0C1A"/>
    <w:rsid w:val="007D0F07"/>
    <w:rsid w:val="007D14A4"/>
    <w:rsid w:val="007D2BA3"/>
    <w:rsid w:val="007D34D8"/>
    <w:rsid w:val="007D39A2"/>
    <w:rsid w:val="007D50EB"/>
    <w:rsid w:val="007D7453"/>
    <w:rsid w:val="007D762A"/>
    <w:rsid w:val="007D7EEA"/>
    <w:rsid w:val="007E0747"/>
    <w:rsid w:val="007E1BD4"/>
    <w:rsid w:val="007E1F9A"/>
    <w:rsid w:val="007E2502"/>
    <w:rsid w:val="007E3683"/>
    <w:rsid w:val="007E405C"/>
    <w:rsid w:val="007E432C"/>
    <w:rsid w:val="007E4B63"/>
    <w:rsid w:val="007E4DAB"/>
    <w:rsid w:val="007E60B1"/>
    <w:rsid w:val="007E6ADE"/>
    <w:rsid w:val="007E6B80"/>
    <w:rsid w:val="007E7C89"/>
    <w:rsid w:val="007F0AFE"/>
    <w:rsid w:val="007F1BCB"/>
    <w:rsid w:val="007F2058"/>
    <w:rsid w:val="007F3A39"/>
    <w:rsid w:val="007F4426"/>
    <w:rsid w:val="007F5D38"/>
    <w:rsid w:val="007F680D"/>
    <w:rsid w:val="007F7348"/>
    <w:rsid w:val="007F7578"/>
    <w:rsid w:val="007F7962"/>
    <w:rsid w:val="008030EF"/>
    <w:rsid w:val="00805494"/>
    <w:rsid w:val="00805D1F"/>
    <w:rsid w:val="0080730A"/>
    <w:rsid w:val="008115DE"/>
    <w:rsid w:val="00811B48"/>
    <w:rsid w:val="00812B14"/>
    <w:rsid w:val="00812B72"/>
    <w:rsid w:val="008132E1"/>
    <w:rsid w:val="00813744"/>
    <w:rsid w:val="00814078"/>
    <w:rsid w:val="008142A8"/>
    <w:rsid w:val="00814999"/>
    <w:rsid w:val="00814D7A"/>
    <w:rsid w:val="008155E2"/>
    <w:rsid w:val="008173DD"/>
    <w:rsid w:val="008207BA"/>
    <w:rsid w:val="008218EB"/>
    <w:rsid w:val="0082244F"/>
    <w:rsid w:val="00822606"/>
    <w:rsid w:val="008230C6"/>
    <w:rsid w:val="00823578"/>
    <w:rsid w:val="00823C7B"/>
    <w:rsid w:val="008256C9"/>
    <w:rsid w:val="00825CE0"/>
    <w:rsid w:val="00825DBD"/>
    <w:rsid w:val="00826BC3"/>
    <w:rsid w:val="00826CE9"/>
    <w:rsid w:val="00827290"/>
    <w:rsid w:val="00827C61"/>
    <w:rsid w:val="008312FB"/>
    <w:rsid w:val="0083149A"/>
    <w:rsid w:val="008323EC"/>
    <w:rsid w:val="008329AA"/>
    <w:rsid w:val="008342BC"/>
    <w:rsid w:val="00834629"/>
    <w:rsid w:val="0083527C"/>
    <w:rsid w:val="00840BDE"/>
    <w:rsid w:val="00843735"/>
    <w:rsid w:val="00843D35"/>
    <w:rsid w:val="00844783"/>
    <w:rsid w:val="008474C1"/>
    <w:rsid w:val="0085162C"/>
    <w:rsid w:val="0085298D"/>
    <w:rsid w:val="00852ECD"/>
    <w:rsid w:val="00854375"/>
    <w:rsid w:val="00857118"/>
    <w:rsid w:val="00857419"/>
    <w:rsid w:val="00857A84"/>
    <w:rsid w:val="00857EAF"/>
    <w:rsid w:val="00860E71"/>
    <w:rsid w:val="00861BE6"/>
    <w:rsid w:val="00863DB0"/>
    <w:rsid w:val="008649EF"/>
    <w:rsid w:val="0086622F"/>
    <w:rsid w:val="0086770B"/>
    <w:rsid w:val="0087030D"/>
    <w:rsid w:val="008731B4"/>
    <w:rsid w:val="00873F4F"/>
    <w:rsid w:val="00874E7C"/>
    <w:rsid w:val="00877250"/>
    <w:rsid w:val="00877B04"/>
    <w:rsid w:val="00880A2F"/>
    <w:rsid w:val="00882E0B"/>
    <w:rsid w:val="0088318A"/>
    <w:rsid w:val="00883DC9"/>
    <w:rsid w:val="00883E24"/>
    <w:rsid w:val="008840C6"/>
    <w:rsid w:val="008855FD"/>
    <w:rsid w:val="00887A95"/>
    <w:rsid w:val="0089131D"/>
    <w:rsid w:val="0089154F"/>
    <w:rsid w:val="00891BD8"/>
    <w:rsid w:val="00894643"/>
    <w:rsid w:val="008950BC"/>
    <w:rsid w:val="00895C94"/>
    <w:rsid w:val="00896BD4"/>
    <w:rsid w:val="008970CC"/>
    <w:rsid w:val="0089723F"/>
    <w:rsid w:val="00897364"/>
    <w:rsid w:val="008973CD"/>
    <w:rsid w:val="008973CE"/>
    <w:rsid w:val="008A0B62"/>
    <w:rsid w:val="008A2E1C"/>
    <w:rsid w:val="008A4710"/>
    <w:rsid w:val="008A7DAB"/>
    <w:rsid w:val="008B0A16"/>
    <w:rsid w:val="008B4420"/>
    <w:rsid w:val="008B5F7D"/>
    <w:rsid w:val="008B604D"/>
    <w:rsid w:val="008B7931"/>
    <w:rsid w:val="008C0244"/>
    <w:rsid w:val="008C04CC"/>
    <w:rsid w:val="008C0853"/>
    <w:rsid w:val="008C1262"/>
    <w:rsid w:val="008C1C6B"/>
    <w:rsid w:val="008C1CF9"/>
    <w:rsid w:val="008C2A1E"/>
    <w:rsid w:val="008C4785"/>
    <w:rsid w:val="008C504F"/>
    <w:rsid w:val="008C6D4A"/>
    <w:rsid w:val="008C7393"/>
    <w:rsid w:val="008C7C39"/>
    <w:rsid w:val="008D18B1"/>
    <w:rsid w:val="008D3096"/>
    <w:rsid w:val="008D36CB"/>
    <w:rsid w:val="008D3B87"/>
    <w:rsid w:val="008D4A86"/>
    <w:rsid w:val="008D4D3A"/>
    <w:rsid w:val="008E0184"/>
    <w:rsid w:val="008E08E2"/>
    <w:rsid w:val="008E0D26"/>
    <w:rsid w:val="008E1FEE"/>
    <w:rsid w:val="008E2257"/>
    <w:rsid w:val="008E22B3"/>
    <w:rsid w:val="008E2F3D"/>
    <w:rsid w:val="008E3C51"/>
    <w:rsid w:val="008E3ED7"/>
    <w:rsid w:val="008E3F16"/>
    <w:rsid w:val="008E44B5"/>
    <w:rsid w:val="008E4DD4"/>
    <w:rsid w:val="008E6FD6"/>
    <w:rsid w:val="008E7B45"/>
    <w:rsid w:val="008F11B6"/>
    <w:rsid w:val="008F1792"/>
    <w:rsid w:val="008F192B"/>
    <w:rsid w:val="008F2E06"/>
    <w:rsid w:val="008F460C"/>
    <w:rsid w:val="008F5C8D"/>
    <w:rsid w:val="008F6B06"/>
    <w:rsid w:val="008F79A9"/>
    <w:rsid w:val="009018E7"/>
    <w:rsid w:val="00901DA8"/>
    <w:rsid w:val="00902C4D"/>
    <w:rsid w:val="0090511E"/>
    <w:rsid w:val="00910B36"/>
    <w:rsid w:val="00913D17"/>
    <w:rsid w:val="00914F7A"/>
    <w:rsid w:val="00915B7B"/>
    <w:rsid w:val="00916CF8"/>
    <w:rsid w:val="00920516"/>
    <w:rsid w:val="00920D64"/>
    <w:rsid w:val="00921F03"/>
    <w:rsid w:val="009227AB"/>
    <w:rsid w:val="00923AB5"/>
    <w:rsid w:val="00925E16"/>
    <w:rsid w:val="009267AA"/>
    <w:rsid w:val="0093102A"/>
    <w:rsid w:val="009315D0"/>
    <w:rsid w:val="00933007"/>
    <w:rsid w:val="009337E9"/>
    <w:rsid w:val="00933D39"/>
    <w:rsid w:val="00936AAF"/>
    <w:rsid w:val="00941E75"/>
    <w:rsid w:val="00943E40"/>
    <w:rsid w:val="009447BB"/>
    <w:rsid w:val="009460DC"/>
    <w:rsid w:val="009463AB"/>
    <w:rsid w:val="009463C3"/>
    <w:rsid w:val="009510E6"/>
    <w:rsid w:val="009511AA"/>
    <w:rsid w:val="00951268"/>
    <w:rsid w:val="00951859"/>
    <w:rsid w:val="009536C1"/>
    <w:rsid w:val="00953B1E"/>
    <w:rsid w:val="0095502D"/>
    <w:rsid w:val="00955E6C"/>
    <w:rsid w:val="0095630C"/>
    <w:rsid w:val="00956F2C"/>
    <w:rsid w:val="009576E5"/>
    <w:rsid w:val="0096136D"/>
    <w:rsid w:val="00961435"/>
    <w:rsid w:val="0096180A"/>
    <w:rsid w:val="00970B5C"/>
    <w:rsid w:val="009714C6"/>
    <w:rsid w:val="00972CB7"/>
    <w:rsid w:val="00972DC3"/>
    <w:rsid w:val="0097336A"/>
    <w:rsid w:val="00977963"/>
    <w:rsid w:val="00985682"/>
    <w:rsid w:val="009859BD"/>
    <w:rsid w:val="00985C85"/>
    <w:rsid w:val="00987746"/>
    <w:rsid w:val="00990089"/>
    <w:rsid w:val="00991662"/>
    <w:rsid w:val="00991B18"/>
    <w:rsid w:val="00992076"/>
    <w:rsid w:val="009921AE"/>
    <w:rsid w:val="0099404F"/>
    <w:rsid w:val="0099446F"/>
    <w:rsid w:val="00994720"/>
    <w:rsid w:val="009947C4"/>
    <w:rsid w:val="0099541E"/>
    <w:rsid w:val="00995858"/>
    <w:rsid w:val="0099607A"/>
    <w:rsid w:val="0099789A"/>
    <w:rsid w:val="00997CAD"/>
    <w:rsid w:val="009A1AE6"/>
    <w:rsid w:val="009A1F38"/>
    <w:rsid w:val="009A2474"/>
    <w:rsid w:val="009A2BEF"/>
    <w:rsid w:val="009A3433"/>
    <w:rsid w:val="009A39BC"/>
    <w:rsid w:val="009A4101"/>
    <w:rsid w:val="009A518F"/>
    <w:rsid w:val="009A7B6F"/>
    <w:rsid w:val="009B09F4"/>
    <w:rsid w:val="009B0AD4"/>
    <w:rsid w:val="009B0D24"/>
    <w:rsid w:val="009B364E"/>
    <w:rsid w:val="009B429D"/>
    <w:rsid w:val="009B5C62"/>
    <w:rsid w:val="009B6A6D"/>
    <w:rsid w:val="009B6E85"/>
    <w:rsid w:val="009C184A"/>
    <w:rsid w:val="009C193E"/>
    <w:rsid w:val="009C225A"/>
    <w:rsid w:val="009C30E8"/>
    <w:rsid w:val="009C70DC"/>
    <w:rsid w:val="009D0323"/>
    <w:rsid w:val="009D1648"/>
    <w:rsid w:val="009D25AA"/>
    <w:rsid w:val="009D2BA4"/>
    <w:rsid w:val="009D2D32"/>
    <w:rsid w:val="009D48B1"/>
    <w:rsid w:val="009D6BBC"/>
    <w:rsid w:val="009E1DA8"/>
    <w:rsid w:val="009E2337"/>
    <w:rsid w:val="009E299B"/>
    <w:rsid w:val="009E4086"/>
    <w:rsid w:val="009E4DAD"/>
    <w:rsid w:val="009E4F07"/>
    <w:rsid w:val="009E6780"/>
    <w:rsid w:val="009F073C"/>
    <w:rsid w:val="009F1949"/>
    <w:rsid w:val="009F19C1"/>
    <w:rsid w:val="009F1A07"/>
    <w:rsid w:val="009F1D0D"/>
    <w:rsid w:val="009F1D98"/>
    <w:rsid w:val="009F2868"/>
    <w:rsid w:val="009F2EC9"/>
    <w:rsid w:val="009F34CF"/>
    <w:rsid w:val="009F4465"/>
    <w:rsid w:val="009F720E"/>
    <w:rsid w:val="009F7269"/>
    <w:rsid w:val="009F7356"/>
    <w:rsid w:val="009F7997"/>
    <w:rsid w:val="00A005DB"/>
    <w:rsid w:val="00A044BB"/>
    <w:rsid w:val="00A04945"/>
    <w:rsid w:val="00A04AD4"/>
    <w:rsid w:val="00A04E94"/>
    <w:rsid w:val="00A053D2"/>
    <w:rsid w:val="00A0672E"/>
    <w:rsid w:val="00A112D8"/>
    <w:rsid w:val="00A114BD"/>
    <w:rsid w:val="00A1289D"/>
    <w:rsid w:val="00A162A6"/>
    <w:rsid w:val="00A17B2F"/>
    <w:rsid w:val="00A17E7E"/>
    <w:rsid w:val="00A21C61"/>
    <w:rsid w:val="00A22520"/>
    <w:rsid w:val="00A23547"/>
    <w:rsid w:val="00A2506C"/>
    <w:rsid w:val="00A31DB0"/>
    <w:rsid w:val="00A35363"/>
    <w:rsid w:val="00A3683C"/>
    <w:rsid w:val="00A37CC1"/>
    <w:rsid w:val="00A4147B"/>
    <w:rsid w:val="00A4163B"/>
    <w:rsid w:val="00A418D7"/>
    <w:rsid w:val="00A41B44"/>
    <w:rsid w:val="00A42BEF"/>
    <w:rsid w:val="00A43A77"/>
    <w:rsid w:val="00A43AC4"/>
    <w:rsid w:val="00A4411E"/>
    <w:rsid w:val="00A44265"/>
    <w:rsid w:val="00A44CA1"/>
    <w:rsid w:val="00A44D3A"/>
    <w:rsid w:val="00A45251"/>
    <w:rsid w:val="00A45DA0"/>
    <w:rsid w:val="00A52864"/>
    <w:rsid w:val="00A5461A"/>
    <w:rsid w:val="00A57509"/>
    <w:rsid w:val="00A63B53"/>
    <w:rsid w:val="00A63D39"/>
    <w:rsid w:val="00A6482B"/>
    <w:rsid w:val="00A659EB"/>
    <w:rsid w:val="00A665CD"/>
    <w:rsid w:val="00A67B9C"/>
    <w:rsid w:val="00A71427"/>
    <w:rsid w:val="00A73DEF"/>
    <w:rsid w:val="00A7416A"/>
    <w:rsid w:val="00A7454C"/>
    <w:rsid w:val="00A75130"/>
    <w:rsid w:val="00A768C0"/>
    <w:rsid w:val="00A76EBF"/>
    <w:rsid w:val="00A778C4"/>
    <w:rsid w:val="00A80284"/>
    <w:rsid w:val="00A846C1"/>
    <w:rsid w:val="00A8680A"/>
    <w:rsid w:val="00A9201A"/>
    <w:rsid w:val="00A92A1D"/>
    <w:rsid w:val="00A9327E"/>
    <w:rsid w:val="00A9630E"/>
    <w:rsid w:val="00A97752"/>
    <w:rsid w:val="00AA004D"/>
    <w:rsid w:val="00AA32EC"/>
    <w:rsid w:val="00AA6D6C"/>
    <w:rsid w:val="00AA7F2A"/>
    <w:rsid w:val="00AB0D22"/>
    <w:rsid w:val="00AB0D49"/>
    <w:rsid w:val="00AB1406"/>
    <w:rsid w:val="00AB2D9C"/>
    <w:rsid w:val="00AB38B4"/>
    <w:rsid w:val="00AB3E78"/>
    <w:rsid w:val="00AB4D78"/>
    <w:rsid w:val="00AB71A3"/>
    <w:rsid w:val="00AB7AFA"/>
    <w:rsid w:val="00AC185F"/>
    <w:rsid w:val="00AC4065"/>
    <w:rsid w:val="00AC510B"/>
    <w:rsid w:val="00AC54EC"/>
    <w:rsid w:val="00AD0F6A"/>
    <w:rsid w:val="00AD12AD"/>
    <w:rsid w:val="00AD1446"/>
    <w:rsid w:val="00AD1BA4"/>
    <w:rsid w:val="00AD3039"/>
    <w:rsid w:val="00AD3906"/>
    <w:rsid w:val="00AD56FD"/>
    <w:rsid w:val="00AE0E41"/>
    <w:rsid w:val="00AE20AF"/>
    <w:rsid w:val="00AE4B90"/>
    <w:rsid w:val="00AE539A"/>
    <w:rsid w:val="00AE54A4"/>
    <w:rsid w:val="00AE73E4"/>
    <w:rsid w:val="00AE7FD8"/>
    <w:rsid w:val="00AF0289"/>
    <w:rsid w:val="00AF043E"/>
    <w:rsid w:val="00AF1D3A"/>
    <w:rsid w:val="00AF3670"/>
    <w:rsid w:val="00AF3A41"/>
    <w:rsid w:val="00AF4AE3"/>
    <w:rsid w:val="00AF7A3E"/>
    <w:rsid w:val="00B005B6"/>
    <w:rsid w:val="00B00C03"/>
    <w:rsid w:val="00B01D12"/>
    <w:rsid w:val="00B033B9"/>
    <w:rsid w:val="00B03FB6"/>
    <w:rsid w:val="00B04071"/>
    <w:rsid w:val="00B04717"/>
    <w:rsid w:val="00B06914"/>
    <w:rsid w:val="00B069C9"/>
    <w:rsid w:val="00B06ADB"/>
    <w:rsid w:val="00B10DFB"/>
    <w:rsid w:val="00B12A3A"/>
    <w:rsid w:val="00B12C52"/>
    <w:rsid w:val="00B13AE6"/>
    <w:rsid w:val="00B14AEA"/>
    <w:rsid w:val="00B14F39"/>
    <w:rsid w:val="00B15CD7"/>
    <w:rsid w:val="00B160F9"/>
    <w:rsid w:val="00B16142"/>
    <w:rsid w:val="00B2393D"/>
    <w:rsid w:val="00B2525D"/>
    <w:rsid w:val="00B2597C"/>
    <w:rsid w:val="00B25E5B"/>
    <w:rsid w:val="00B26467"/>
    <w:rsid w:val="00B26B3C"/>
    <w:rsid w:val="00B27931"/>
    <w:rsid w:val="00B27D35"/>
    <w:rsid w:val="00B326A3"/>
    <w:rsid w:val="00B32C58"/>
    <w:rsid w:val="00B33BEE"/>
    <w:rsid w:val="00B33E87"/>
    <w:rsid w:val="00B34EB9"/>
    <w:rsid w:val="00B35EE8"/>
    <w:rsid w:val="00B36993"/>
    <w:rsid w:val="00B37DD2"/>
    <w:rsid w:val="00B40265"/>
    <w:rsid w:val="00B438F5"/>
    <w:rsid w:val="00B45C00"/>
    <w:rsid w:val="00B45EFF"/>
    <w:rsid w:val="00B4657A"/>
    <w:rsid w:val="00B46AC3"/>
    <w:rsid w:val="00B4785E"/>
    <w:rsid w:val="00B47B3C"/>
    <w:rsid w:val="00B51514"/>
    <w:rsid w:val="00B5157D"/>
    <w:rsid w:val="00B5177C"/>
    <w:rsid w:val="00B532C0"/>
    <w:rsid w:val="00B53D51"/>
    <w:rsid w:val="00B559DE"/>
    <w:rsid w:val="00B55FF7"/>
    <w:rsid w:val="00B57249"/>
    <w:rsid w:val="00B61312"/>
    <w:rsid w:val="00B62DF0"/>
    <w:rsid w:val="00B6366D"/>
    <w:rsid w:val="00B658E1"/>
    <w:rsid w:val="00B71354"/>
    <w:rsid w:val="00B713C1"/>
    <w:rsid w:val="00B72235"/>
    <w:rsid w:val="00B748F6"/>
    <w:rsid w:val="00B74A51"/>
    <w:rsid w:val="00B74F92"/>
    <w:rsid w:val="00B7536A"/>
    <w:rsid w:val="00B76F02"/>
    <w:rsid w:val="00B77985"/>
    <w:rsid w:val="00B77F73"/>
    <w:rsid w:val="00B81340"/>
    <w:rsid w:val="00B818F0"/>
    <w:rsid w:val="00B82217"/>
    <w:rsid w:val="00B8224B"/>
    <w:rsid w:val="00B82A35"/>
    <w:rsid w:val="00B82D5C"/>
    <w:rsid w:val="00B82F2F"/>
    <w:rsid w:val="00B851B5"/>
    <w:rsid w:val="00B85D6A"/>
    <w:rsid w:val="00B925CA"/>
    <w:rsid w:val="00B93039"/>
    <w:rsid w:val="00B94152"/>
    <w:rsid w:val="00B974EF"/>
    <w:rsid w:val="00BA189E"/>
    <w:rsid w:val="00BA1C54"/>
    <w:rsid w:val="00BA29E9"/>
    <w:rsid w:val="00BA5D34"/>
    <w:rsid w:val="00BA6765"/>
    <w:rsid w:val="00BA7ECA"/>
    <w:rsid w:val="00BB193F"/>
    <w:rsid w:val="00BB336B"/>
    <w:rsid w:val="00BC006F"/>
    <w:rsid w:val="00BC2A4A"/>
    <w:rsid w:val="00BC5FE3"/>
    <w:rsid w:val="00BC6B69"/>
    <w:rsid w:val="00BD0CFD"/>
    <w:rsid w:val="00BD0EB0"/>
    <w:rsid w:val="00BD1561"/>
    <w:rsid w:val="00BD1590"/>
    <w:rsid w:val="00BD1E89"/>
    <w:rsid w:val="00BD304E"/>
    <w:rsid w:val="00BD3552"/>
    <w:rsid w:val="00BD4716"/>
    <w:rsid w:val="00BD54B7"/>
    <w:rsid w:val="00BD54F1"/>
    <w:rsid w:val="00BD798F"/>
    <w:rsid w:val="00BD7BDE"/>
    <w:rsid w:val="00BE0A26"/>
    <w:rsid w:val="00BE2459"/>
    <w:rsid w:val="00BE4BAD"/>
    <w:rsid w:val="00BE5239"/>
    <w:rsid w:val="00BE5C05"/>
    <w:rsid w:val="00BE5CFA"/>
    <w:rsid w:val="00BE604D"/>
    <w:rsid w:val="00BE6712"/>
    <w:rsid w:val="00BF0155"/>
    <w:rsid w:val="00BF08A1"/>
    <w:rsid w:val="00BF1199"/>
    <w:rsid w:val="00BF19BA"/>
    <w:rsid w:val="00BF2176"/>
    <w:rsid w:val="00BF241A"/>
    <w:rsid w:val="00BF2B99"/>
    <w:rsid w:val="00BF35DA"/>
    <w:rsid w:val="00BF3BCC"/>
    <w:rsid w:val="00BF3BD7"/>
    <w:rsid w:val="00BF5C93"/>
    <w:rsid w:val="00BF70E6"/>
    <w:rsid w:val="00BF7A97"/>
    <w:rsid w:val="00BF7F94"/>
    <w:rsid w:val="00C0007E"/>
    <w:rsid w:val="00C00BD9"/>
    <w:rsid w:val="00C01245"/>
    <w:rsid w:val="00C01348"/>
    <w:rsid w:val="00C017FF"/>
    <w:rsid w:val="00C03651"/>
    <w:rsid w:val="00C05D37"/>
    <w:rsid w:val="00C1145E"/>
    <w:rsid w:val="00C119BC"/>
    <w:rsid w:val="00C14E5D"/>
    <w:rsid w:val="00C15CF8"/>
    <w:rsid w:val="00C1667A"/>
    <w:rsid w:val="00C16B94"/>
    <w:rsid w:val="00C16D49"/>
    <w:rsid w:val="00C17716"/>
    <w:rsid w:val="00C22538"/>
    <w:rsid w:val="00C22A9A"/>
    <w:rsid w:val="00C248FA"/>
    <w:rsid w:val="00C24ED2"/>
    <w:rsid w:val="00C25BAB"/>
    <w:rsid w:val="00C25D25"/>
    <w:rsid w:val="00C27AEC"/>
    <w:rsid w:val="00C30CBF"/>
    <w:rsid w:val="00C3155D"/>
    <w:rsid w:val="00C32D74"/>
    <w:rsid w:val="00C3372C"/>
    <w:rsid w:val="00C33F1C"/>
    <w:rsid w:val="00C34154"/>
    <w:rsid w:val="00C345B0"/>
    <w:rsid w:val="00C36728"/>
    <w:rsid w:val="00C367FE"/>
    <w:rsid w:val="00C41E54"/>
    <w:rsid w:val="00C4209F"/>
    <w:rsid w:val="00C43486"/>
    <w:rsid w:val="00C43521"/>
    <w:rsid w:val="00C43EF3"/>
    <w:rsid w:val="00C454DB"/>
    <w:rsid w:val="00C460B3"/>
    <w:rsid w:val="00C46C00"/>
    <w:rsid w:val="00C5047E"/>
    <w:rsid w:val="00C50CA0"/>
    <w:rsid w:val="00C50D0E"/>
    <w:rsid w:val="00C510DA"/>
    <w:rsid w:val="00C51253"/>
    <w:rsid w:val="00C53614"/>
    <w:rsid w:val="00C54DCA"/>
    <w:rsid w:val="00C5781D"/>
    <w:rsid w:val="00C63369"/>
    <w:rsid w:val="00C6359C"/>
    <w:rsid w:val="00C63C8A"/>
    <w:rsid w:val="00C648DB"/>
    <w:rsid w:val="00C64B83"/>
    <w:rsid w:val="00C65631"/>
    <w:rsid w:val="00C66E20"/>
    <w:rsid w:val="00C6709E"/>
    <w:rsid w:val="00C70594"/>
    <w:rsid w:val="00C70AA0"/>
    <w:rsid w:val="00C70E32"/>
    <w:rsid w:val="00C70F27"/>
    <w:rsid w:val="00C71932"/>
    <w:rsid w:val="00C733E7"/>
    <w:rsid w:val="00C73C43"/>
    <w:rsid w:val="00C75AA6"/>
    <w:rsid w:val="00C771BF"/>
    <w:rsid w:val="00C80EEB"/>
    <w:rsid w:val="00C82626"/>
    <w:rsid w:val="00C831D4"/>
    <w:rsid w:val="00C85326"/>
    <w:rsid w:val="00C854EF"/>
    <w:rsid w:val="00C8599D"/>
    <w:rsid w:val="00C861BB"/>
    <w:rsid w:val="00C8761F"/>
    <w:rsid w:val="00C87F35"/>
    <w:rsid w:val="00C91701"/>
    <w:rsid w:val="00C932E1"/>
    <w:rsid w:val="00C94D91"/>
    <w:rsid w:val="00C96A48"/>
    <w:rsid w:val="00C96C6B"/>
    <w:rsid w:val="00C979C0"/>
    <w:rsid w:val="00CA00EB"/>
    <w:rsid w:val="00CA2543"/>
    <w:rsid w:val="00CA2A20"/>
    <w:rsid w:val="00CA328A"/>
    <w:rsid w:val="00CA4608"/>
    <w:rsid w:val="00CA490A"/>
    <w:rsid w:val="00CA586C"/>
    <w:rsid w:val="00CA5C4B"/>
    <w:rsid w:val="00CA69F9"/>
    <w:rsid w:val="00CA7858"/>
    <w:rsid w:val="00CA78CB"/>
    <w:rsid w:val="00CB03A8"/>
    <w:rsid w:val="00CB11CB"/>
    <w:rsid w:val="00CB3A66"/>
    <w:rsid w:val="00CB4DEB"/>
    <w:rsid w:val="00CB4EA5"/>
    <w:rsid w:val="00CB6311"/>
    <w:rsid w:val="00CB7487"/>
    <w:rsid w:val="00CC0FC1"/>
    <w:rsid w:val="00CC1339"/>
    <w:rsid w:val="00CC20EC"/>
    <w:rsid w:val="00CC28BA"/>
    <w:rsid w:val="00CC4343"/>
    <w:rsid w:val="00CC599A"/>
    <w:rsid w:val="00CC5A2D"/>
    <w:rsid w:val="00CC6BD5"/>
    <w:rsid w:val="00CC7208"/>
    <w:rsid w:val="00CD1BD2"/>
    <w:rsid w:val="00CD2291"/>
    <w:rsid w:val="00CD2474"/>
    <w:rsid w:val="00CD2820"/>
    <w:rsid w:val="00CD2ED9"/>
    <w:rsid w:val="00CD31C6"/>
    <w:rsid w:val="00CD3466"/>
    <w:rsid w:val="00CD38D9"/>
    <w:rsid w:val="00CD4190"/>
    <w:rsid w:val="00CD4614"/>
    <w:rsid w:val="00CD4D50"/>
    <w:rsid w:val="00CD5A10"/>
    <w:rsid w:val="00CD74DF"/>
    <w:rsid w:val="00CE00CC"/>
    <w:rsid w:val="00CE2094"/>
    <w:rsid w:val="00CE5184"/>
    <w:rsid w:val="00CE521A"/>
    <w:rsid w:val="00CE6CED"/>
    <w:rsid w:val="00CE7000"/>
    <w:rsid w:val="00CE7633"/>
    <w:rsid w:val="00CE7C76"/>
    <w:rsid w:val="00CF41D4"/>
    <w:rsid w:val="00CF5E65"/>
    <w:rsid w:val="00CF727E"/>
    <w:rsid w:val="00D01268"/>
    <w:rsid w:val="00D01449"/>
    <w:rsid w:val="00D01C0D"/>
    <w:rsid w:val="00D01E64"/>
    <w:rsid w:val="00D0230B"/>
    <w:rsid w:val="00D02646"/>
    <w:rsid w:val="00D0270C"/>
    <w:rsid w:val="00D0407D"/>
    <w:rsid w:val="00D07DF1"/>
    <w:rsid w:val="00D103D0"/>
    <w:rsid w:val="00D118C0"/>
    <w:rsid w:val="00D1293A"/>
    <w:rsid w:val="00D13A12"/>
    <w:rsid w:val="00D140B8"/>
    <w:rsid w:val="00D158C0"/>
    <w:rsid w:val="00D163A8"/>
    <w:rsid w:val="00D16746"/>
    <w:rsid w:val="00D179A0"/>
    <w:rsid w:val="00D218B2"/>
    <w:rsid w:val="00D2224F"/>
    <w:rsid w:val="00D22396"/>
    <w:rsid w:val="00D225E1"/>
    <w:rsid w:val="00D229F5"/>
    <w:rsid w:val="00D2453F"/>
    <w:rsid w:val="00D27E55"/>
    <w:rsid w:val="00D27FE8"/>
    <w:rsid w:val="00D3093D"/>
    <w:rsid w:val="00D319BB"/>
    <w:rsid w:val="00D32C27"/>
    <w:rsid w:val="00D349BC"/>
    <w:rsid w:val="00D34EEA"/>
    <w:rsid w:val="00D355F2"/>
    <w:rsid w:val="00D363B9"/>
    <w:rsid w:val="00D36D0E"/>
    <w:rsid w:val="00D407BA"/>
    <w:rsid w:val="00D44159"/>
    <w:rsid w:val="00D44BCF"/>
    <w:rsid w:val="00D44E24"/>
    <w:rsid w:val="00D4572C"/>
    <w:rsid w:val="00D46F3A"/>
    <w:rsid w:val="00D47953"/>
    <w:rsid w:val="00D500F6"/>
    <w:rsid w:val="00D517BA"/>
    <w:rsid w:val="00D53265"/>
    <w:rsid w:val="00D5338C"/>
    <w:rsid w:val="00D53C8B"/>
    <w:rsid w:val="00D54CFC"/>
    <w:rsid w:val="00D572F2"/>
    <w:rsid w:val="00D57A79"/>
    <w:rsid w:val="00D6083F"/>
    <w:rsid w:val="00D6131C"/>
    <w:rsid w:val="00D62589"/>
    <w:rsid w:val="00D62DA2"/>
    <w:rsid w:val="00D6306F"/>
    <w:rsid w:val="00D64C00"/>
    <w:rsid w:val="00D657C7"/>
    <w:rsid w:val="00D65B8E"/>
    <w:rsid w:val="00D65E16"/>
    <w:rsid w:val="00D65FF9"/>
    <w:rsid w:val="00D66169"/>
    <w:rsid w:val="00D6622A"/>
    <w:rsid w:val="00D70437"/>
    <w:rsid w:val="00D705A6"/>
    <w:rsid w:val="00D71E4A"/>
    <w:rsid w:val="00D81364"/>
    <w:rsid w:val="00D82573"/>
    <w:rsid w:val="00D82F40"/>
    <w:rsid w:val="00D839FA"/>
    <w:rsid w:val="00D92241"/>
    <w:rsid w:val="00D95ABB"/>
    <w:rsid w:val="00DA08C2"/>
    <w:rsid w:val="00DA208E"/>
    <w:rsid w:val="00DA2842"/>
    <w:rsid w:val="00DA2CCC"/>
    <w:rsid w:val="00DA7270"/>
    <w:rsid w:val="00DB04A4"/>
    <w:rsid w:val="00DB1548"/>
    <w:rsid w:val="00DB22BE"/>
    <w:rsid w:val="00DB31DA"/>
    <w:rsid w:val="00DB3D65"/>
    <w:rsid w:val="00DB47E8"/>
    <w:rsid w:val="00DB5B07"/>
    <w:rsid w:val="00DB5CBE"/>
    <w:rsid w:val="00DB5CD8"/>
    <w:rsid w:val="00DC1383"/>
    <w:rsid w:val="00DC216C"/>
    <w:rsid w:val="00DC39D4"/>
    <w:rsid w:val="00DC3F6F"/>
    <w:rsid w:val="00DC4B36"/>
    <w:rsid w:val="00DC65A4"/>
    <w:rsid w:val="00DC67C1"/>
    <w:rsid w:val="00DC731B"/>
    <w:rsid w:val="00DC776C"/>
    <w:rsid w:val="00DD0E33"/>
    <w:rsid w:val="00DD1B98"/>
    <w:rsid w:val="00DD1F5F"/>
    <w:rsid w:val="00DD38CC"/>
    <w:rsid w:val="00DD4296"/>
    <w:rsid w:val="00DD5AA5"/>
    <w:rsid w:val="00DE0CE1"/>
    <w:rsid w:val="00DE2094"/>
    <w:rsid w:val="00DE42F3"/>
    <w:rsid w:val="00DE47B1"/>
    <w:rsid w:val="00DE4A99"/>
    <w:rsid w:val="00DE4BAD"/>
    <w:rsid w:val="00DF0720"/>
    <w:rsid w:val="00DF1279"/>
    <w:rsid w:val="00DF18CE"/>
    <w:rsid w:val="00DF24E4"/>
    <w:rsid w:val="00DF4CEC"/>
    <w:rsid w:val="00DF6099"/>
    <w:rsid w:val="00DF6B40"/>
    <w:rsid w:val="00E001F1"/>
    <w:rsid w:val="00E0123A"/>
    <w:rsid w:val="00E01E0D"/>
    <w:rsid w:val="00E04D9F"/>
    <w:rsid w:val="00E06179"/>
    <w:rsid w:val="00E07F77"/>
    <w:rsid w:val="00E10231"/>
    <w:rsid w:val="00E11E60"/>
    <w:rsid w:val="00E1525F"/>
    <w:rsid w:val="00E1540E"/>
    <w:rsid w:val="00E156EA"/>
    <w:rsid w:val="00E1701B"/>
    <w:rsid w:val="00E20BA1"/>
    <w:rsid w:val="00E2105A"/>
    <w:rsid w:val="00E22D82"/>
    <w:rsid w:val="00E2539E"/>
    <w:rsid w:val="00E279BC"/>
    <w:rsid w:val="00E27F24"/>
    <w:rsid w:val="00E328E2"/>
    <w:rsid w:val="00E32E7F"/>
    <w:rsid w:val="00E35C84"/>
    <w:rsid w:val="00E35CB9"/>
    <w:rsid w:val="00E374FC"/>
    <w:rsid w:val="00E37922"/>
    <w:rsid w:val="00E37E6B"/>
    <w:rsid w:val="00E421B7"/>
    <w:rsid w:val="00E427FB"/>
    <w:rsid w:val="00E42D21"/>
    <w:rsid w:val="00E445F5"/>
    <w:rsid w:val="00E466C7"/>
    <w:rsid w:val="00E468F4"/>
    <w:rsid w:val="00E51183"/>
    <w:rsid w:val="00E51826"/>
    <w:rsid w:val="00E52458"/>
    <w:rsid w:val="00E54284"/>
    <w:rsid w:val="00E54C2C"/>
    <w:rsid w:val="00E5504A"/>
    <w:rsid w:val="00E550D4"/>
    <w:rsid w:val="00E57DFB"/>
    <w:rsid w:val="00E60C2F"/>
    <w:rsid w:val="00E62162"/>
    <w:rsid w:val="00E63111"/>
    <w:rsid w:val="00E63AC1"/>
    <w:rsid w:val="00E63D8D"/>
    <w:rsid w:val="00E6493F"/>
    <w:rsid w:val="00E656F0"/>
    <w:rsid w:val="00E66655"/>
    <w:rsid w:val="00E67E78"/>
    <w:rsid w:val="00E70434"/>
    <w:rsid w:val="00E71F01"/>
    <w:rsid w:val="00E72073"/>
    <w:rsid w:val="00E7247B"/>
    <w:rsid w:val="00E73E9E"/>
    <w:rsid w:val="00E74F04"/>
    <w:rsid w:val="00E77364"/>
    <w:rsid w:val="00E8040D"/>
    <w:rsid w:val="00E8050A"/>
    <w:rsid w:val="00E82076"/>
    <w:rsid w:val="00E83A99"/>
    <w:rsid w:val="00E847A4"/>
    <w:rsid w:val="00E8480A"/>
    <w:rsid w:val="00E858AE"/>
    <w:rsid w:val="00E860F4"/>
    <w:rsid w:val="00E861C2"/>
    <w:rsid w:val="00E862D6"/>
    <w:rsid w:val="00E90A9D"/>
    <w:rsid w:val="00E90CF9"/>
    <w:rsid w:val="00E91617"/>
    <w:rsid w:val="00E94705"/>
    <w:rsid w:val="00E95C6A"/>
    <w:rsid w:val="00E9709C"/>
    <w:rsid w:val="00EA07CA"/>
    <w:rsid w:val="00EA0D5E"/>
    <w:rsid w:val="00EA19E0"/>
    <w:rsid w:val="00EA23E9"/>
    <w:rsid w:val="00EA3DD6"/>
    <w:rsid w:val="00EA49F5"/>
    <w:rsid w:val="00EA5ECA"/>
    <w:rsid w:val="00EA7023"/>
    <w:rsid w:val="00EB09BA"/>
    <w:rsid w:val="00EB4D1F"/>
    <w:rsid w:val="00EB4DAD"/>
    <w:rsid w:val="00EB618B"/>
    <w:rsid w:val="00EB7363"/>
    <w:rsid w:val="00EC03D1"/>
    <w:rsid w:val="00EC0ED8"/>
    <w:rsid w:val="00EC17E9"/>
    <w:rsid w:val="00EC4E37"/>
    <w:rsid w:val="00EC5837"/>
    <w:rsid w:val="00EC5A5E"/>
    <w:rsid w:val="00EC6745"/>
    <w:rsid w:val="00EC74A0"/>
    <w:rsid w:val="00EC7520"/>
    <w:rsid w:val="00ED1C2C"/>
    <w:rsid w:val="00ED260C"/>
    <w:rsid w:val="00ED7237"/>
    <w:rsid w:val="00EE0256"/>
    <w:rsid w:val="00EE04BE"/>
    <w:rsid w:val="00EE145B"/>
    <w:rsid w:val="00EE5964"/>
    <w:rsid w:val="00EE5A68"/>
    <w:rsid w:val="00EE6C56"/>
    <w:rsid w:val="00EE6EAB"/>
    <w:rsid w:val="00EF1BAD"/>
    <w:rsid w:val="00EF4F9D"/>
    <w:rsid w:val="00EF5879"/>
    <w:rsid w:val="00EF5DF7"/>
    <w:rsid w:val="00EF64CF"/>
    <w:rsid w:val="00EF6513"/>
    <w:rsid w:val="00EF69B7"/>
    <w:rsid w:val="00F00DEF"/>
    <w:rsid w:val="00F02E80"/>
    <w:rsid w:val="00F042DB"/>
    <w:rsid w:val="00F04439"/>
    <w:rsid w:val="00F04534"/>
    <w:rsid w:val="00F04571"/>
    <w:rsid w:val="00F04659"/>
    <w:rsid w:val="00F04D06"/>
    <w:rsid w:val="00F064B4"/>
    <w:rsid w:val="00F06654"/>
    <w:rsid w:val="00F10A9D"/>
    <w:rsid w:val="00F10C08"/>
    <w:rsid w:val="00F11D07"/>
    <w:rsid w:val="00F11EE7"/>
    <w:rsid w:val="00F14465"/>
    <w:rsid w:val="00F159DD"/>
    <w:rsid w:val="00F16A49"/>
    <w:rsid w:val="00F17C2A"/>
    <w:rsid w:val="00F23828"/>
    <w:rsid w:val="00F23847"/>
    <w:rsid w:val="00F24802"/>
    <w:rsid w:val="00F24C97"/>
    <w:rsid w:val="00F256D1"/>
    <w:rsid w:val="00F2626C"/>
    <w:rsid w:val="00F26AE5"/>
    <w:rsid w:val="00F26E13"/>
    <w:rsid w:val="00F27DDB"/>
    <w:rsid w:val="00F30712"/>
    <w:rsid w:val="00F30CB6"/>
    <w:rsid w:val="00F323C1"/>
    <w:rsid w:val="00F32D8C"/>
    <w:rsid w:val="00F33A94"/>
    <w:rsid w:val="00F35396"/>
    <w:rsid w:val="00F366D2"/>
    <w:rsid w:val="00F37974"/>
    <w:rsid w:val="00F40547"/>
    <w:rsid w:val="00F40852"/>
    <w:rsid w:val="00F43E6D"/>
    <w:rsid w:val="00F46157"/>
    <w:rsid w:val="00F4665C"/>
    <w:rsid w:val="00F47206"/>
    <w:rsid w:val="00F506A8"/>
    <w:rsid w:val="00F5194A"/>
    <w:rsid w:val="00F51B1F"/>
    <w:rsid w:val="00F523F2"/>
    <w:rsid w:val="00F527B0"/>
    <w:rsid w:val="00F5355B"/>
    <w:rsid w:val="00F554F7"/>
    <w:rsid w:val="00F557FD"/>
    <w:rsid w:val="00F57229"/>
    <w:rsid w:val="00F576D8"/>
    <w:rsid w:val="00F601A4"/>
    <w:rsid w:val="00F60796"/>
    <w:rsid w:val="00F60C09"/>
    <w:rsid w:val="00F60E5C"/>
    <w:rsid w:val="00F6150F"/>
    <w:rsid w:val="00F626E0"/>
    <w:rsid w:val="00F635B9"/>
    <w:rsid w:val="00F63C71"/>
    <w:rsid w:val="00F64E1F"/>
    <w:rsid w:val="00F65287"/>
    <w:rsid w:val="00F65D83"/>
    <w:rsid w:val="00F66B82"/>
    <w:rsid w:val="00F67804"/>
    <w:rsid w:val="00F70D0D"/>
    <w:rsid w:val="00F70DC1"/>
    <w:rsid w:val="00F71947"/>
    <w:rsid w:val="00F71B56"/>
    <w:rsid w:val="00F72741"/>
    <w:rsid w:val="00F731EE"/>
    <w:rsid w:val="00F733A0"/>
    <w:rsid w:val="00F739BE"/>
    <w:rsid w:val="00F74E77"/>
    <w:rsid w:val="00F75B8C"/>
    <w:rsid w:val="00F76E04"/>
    <w:rsid w:val="00F818C4"/>
    <w:rsid w:val="00F833A7"/>
    <w:rsid w:val="00F84D94"/>
    <w:rsid w:val="00F86123"/>
    <w:rsid w:val="00F86166"/>
    <w:rsid w:val="00F87703"/>
    <w:rsid w:val="00F9091F"/>
    <w:rsid w:val="00F92865"/>
    <w:rsid w:val="00F94621"/>
    <w:rsid w:val="00F94722"/>
    <w:rsid w:val="00F950CA"/>
    <w:rsid w:val="00F95CFD"/>
    <w:rsid w:val="00F97D57"/>
    <w:rsid w:val="00FA10D3"/>
    <w:rsid w:val="00FA1477"/>
    <w:rsid w:val="00FA2536"/>
    <w:rsid w:val="00FA4522"/>
    <w:rsid w:val="00FA5702"/>
    <w:rsid w:val="00FA59FD"/>
    <w:rsid w:val="00FA60B4"/>
    <w:rsid w:val="00FA6A14"/>
    <w:rsid w:val="00FA726C"/>
    <w:rsid w:val="00FA772D"/>
    <w:rsid w:val="00FA7EFD"/>
    <w:rsid w:val="00FB11DD"/>
    <w:rsid w:val="00FB13E6"/>
    <w:rsid w:val="00FB19A0"/>
    <w:rsid w:val="00FB1E72"/>
    <w:rsid w:val="00FB1F5B"/>
    <w:rsid w:val="00FB2789"/>
    <w:rsid w:val="00FB2DAF"/>
    <w:rsid w:val="00FB3D1F"/>
    <w:rsid w:val="00FB5B5B"/>
    <w:rsid w:val="00FC32E6"/>
    <w:rsid w:val="00FC348F"/>
    <w:rsid w:val="00FC4861"/>
    <w:rsid w:val="00FC789F"/>
    <w:rsid w:val="00FC7B44"/>
    <w:rsid w:val="00FD1264"/>
    <w:rsid w:val="00FD196C"/>
    <w:rsid w:val="00FD25C4"/>
    <w:rsid w:val="00FD44A3"/>
    <w:rsid w:val="00FD5D7B"/>
    <w:rsid w:val="00FD71C7"/>
    <w:rsid w:val="00FD7383"/>
    <w:rsid w:val="00FD755E"/>
    <w:rsid w:val="00FE124B"/>
    <w:rsid w:val="00FE1700"/>
    <w:rsid w:val="00FE1CC2"/>
    <w:rsid w:val="00FE2B54"/>
    <w:rsid w:val="00FE3E87"/>
    <w:rsid w:val="00FE4F8A"/>
    <w:rsid w:val="00FE5F7C"/>
    <w:rsid w:val="00FE6DB0"/>
    <w:rsid w:val="00FF36C1"/>
    <w:rsid w:val="00FF3B94"/>
    <w:rsid w:val="00FF545B"/>
    <w:rsid w:val="00FF5616"/>
    <w:rsid w:val="00FF61C0"/>
    <w:rsid w:val="00FF7E13"/>
    <w:rsid w:val="0296C1C4"/>
    <w:rsid w:val="11BDA3B7"/>
    <w:rsid w:val="2EC99CFA"/>
    <w:rsid w:val="4F089848"/>
    <w:rsid w:val="6B90207F"/>
  </w:rsids>
  <w:docVars>
    <w:docVar w:name="AP Job Title" w:val="AP Job Title"/>
    <w:docVar w:name="Date Approved" w:val="02/03/2025"/>
    <w:docVar w:name="Date_Approved" w:val="02/03/2025"/>
    <w:docVar w:name="Document Title" w:val="Document Title"/>
    <w:docVar w:name="Last Periodic Review Date" w:val="Last Periodic Review Date"/>
    <w:docVar w:name="Original Creation Date" w:val="Not Set"/>
    <w:docVar w:name="PO Both" w:val="PO Both"/>
    <w:docVar w:name="WR Both" w:val="WR Both"/>
    <w:docVar w:name="WR Department" w:val="WR Department"/>
    <w:docVar w:name="__Grammarly_42___1" w:val="H4sIAAAAAAAEAKtWcslP9kxRslIyNDY2NDcyMjYytzSxNDQwMzRT0lEKTi0uzszPAykwNq0FAAQsaRc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48727B"/>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1"/>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qFormat/>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qFormat/>
    <w:rsid w:val="005E5583"/>
    <w:pPr>
      <w:pBdr>
        <w:bottom w:val="single" w:sz="6" w:space="1" w:color="auto"/>
      </w:pBdr>
      <w:tabs>
        <w:tab w:val="right" w:pos="9360"/>
      </w:tabs>
      <w:spacing w:before="0" w:line="360" w:lineRule="auto"/>
    </w:pPr>
    <w:rPr>
      <w:rFonts w:eastAsiaTheme="majorEastAsia" w:cstheme="majorBidi"/>
      <w:b/>
      <w:spacing w:val="-10"/>
      <w:kern w:val="28"/>
      <w:sz w:val="36"/>
      <w:szCs w:val="36"/>
    </w:rPr>
  </w:style>
  <w:style w:type="paragraph" w:customStyle="1" w:styleId="SectionHeading">
    <w:name w:val="Section Heading"/>
    <w:basedOn w:val="Heading1"/>
    <w:link w:val="SectionHeadingChar"/>
    <w:qFormat/>
    <w:rsid w:val="005E5583"/>
    <w:pPr>
      <w:pBdr>
        <w:top w:val="none" w:sz="0" w:space="0" w:color="auto"/>
      </w:pBdr>
      <w:spacing w:before="0"/>
    </w:pPr>
  </w:style>
  <w:style w:type="character" w:customStyle="1" w:styleId="DocTitleChar">
    <w:name w:val="Doc Title Char"/>
    <w:basedOn w:val="DefaultParagraphFont"/>
    <w:link w:val="DocTitle"/>
    <w:rsid w:val="005E5583"/>
    <w:rPr>
      <w:rFonts w:ascii="Arial" w:hAnsi="Arial" w:eastAsiaTheme="majorEastAsia" w:cstheme="majorBidi"/>
      <w:b/>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5E5583"/>
    <w:rPr>
      <w:rFonts w:ascii="Arial" w:hAnsi="Arial"/>
      <w:b/>
      <w:sz w:val="24"/>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character" w:customStyle="1" w:styleId="Hyperlink0">
    <w:name w:val="Hyperlink.0"/>
    <w:basedOn w:val="DefaultParagraphFont"/>
    <w:rsid w:val="00EF1BAD"/>
    <w:rPr>
      <w:lang w:val="en-US"/>
    </w:rPr>
  </w:style>
  <w:style w:type="character" w:customStyle="1" w:styleId="eop">
    <w:name w:val="eop"/>
    <w:basedOn w:val="DefaultParagraphFont"/>
    <w:rsid w:val="00AD1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hyperlink" Target="https://www.investopedia.com/terms/e/erisa.asp" TargetMode="External" /><Relationship Id="rId14" Type="http://schemas.openxmlformats.org/officeDocument/2006/relationships/hyperlink" Target="https://www.investopedia.com/terms/h/healthinsurance.asp" TargetMode="External" /><Relationship Id="rId15" Type="http://schemas.openxmlformats.org/officeDocument/2006/relationships/hyperlink" Target="mailto:ycci.sop@yale.edu" TargetMode="External" /><Relationship Id="rId16" Type="http://schemas.openxmlformats.org/officeDocument/2006/relationships/hyperlink" Target="https://www.accessdata.fda.gov/scripts/cdrh/cfdocs/cfCFR/CFRSearch.cfm?CFRPart=312" TargetMode="External" /><Relationship Id="rId17" Type="http://schemas.openxmlformats.org/officeDocument/2006/relationships/hyperlink" Target="https://www.accessdata.fda.gov/scripts/cdrh/cfdocs/cfcfr/CFRSearch.cfm?fr=812.2" TargetMode="External" /><Relationship Id="rId18" Type="http://schemas.openxmlformats.org/officeDocument/2006/relationships/hyperlink" Target="http://www.ich.org/" TargetMode="External" /><Relationship Id="rId19" Type="http://schemas.openxmlformats.org/officeDocument/2006/relationships/theme" Target="theme/theme1.xml" /><Relationship Id="rId2" Type="http://schemas.openxmlformats.org/officeDocument/2006/relationships/endnotes" Target="endnote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2.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Monitoring Tiered Support -0510- Procedure</dc:title>
  <dc:creator>Jarosz, Michael</dc:creator>
  <lastModifiedBy>Audrey King</lastModifiedBy>
  <revision>43</revision>
  <lastPrinted>2015-08-17T19:29:00.0000000Z</lastPrinted>
  <dcterms:created xsi:type="dcterms:W3CDTF">2025-01-22T21:38:00.0000000Z</dcterms:created>
  <dcterms:modified xsi:type="dcterms:W3CDTF">2026-02-16T21:00:20.0000000Z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y fmtid="{D5CDD505-2E9C-101B-9397-08002B2CF9AE}" pid="3" name="GrammarlyDocumentId">
    <vt:lpwstr>a342b79811ed6aaca5c82d1312650c5ea391fed7989f00716b8f4fdca8df3e2d</vt:lpwstr>
  </property>
</Properties>
</file>