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432E40" w:rsidP="00917A22" w14:paraId="740EE539" w14:textId="3985CEB3">
      <w:pPr>
        <w:rPr>
          <w:rFonts w:ascii="Arial" w:hAnsi="Arial" w:cs="Arial"/>
          <w:sz w:val="20"/>
        </w:rPr>
        <w:sectPr w:rsidSect="00A51FC1">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581A05" w:rsidP="00E864DF" w14:paraId="4865650D" w14:textId="77777777">
      <w:pPr>
        <w:keepNext/>
        <w:pBdr>
          <w:top w:val="single" w:sz="4" w:space="1" w:color="auto"/>
        </w:pBdr>
        <w:spacing w:before="240" w:after="120"/>
        <w:contextualSpacing/>
        <w:outlineLvl w:val="0"/>
        <w:rPr>
          <w:rFonts w:ascii="Arial" w:hAnsi="Arial" w:cs="Arial"/>
          <w:b/>
          <w:sz w:val="20"/>
        </w:rPr>
      </w:pPr>
    </w:p>
    <w:p w:rsidR="00581A05" w:rsidRPr="0053497E" w:rsidP="00704ED2" w14:paraId="7B2CEE47" w14:textId="7F3A6EF6">
      <w:pPr>
        <w:pStyle w:val="SectionHeading"/>
        <w:numPr>
          <w:ilvl w:val="0"/>
          <w:numId w:val="24"/>
        </w:numPr>
        <w:tabs>
          <w:tab w:val="num" w:pos="720"/>
        </w:tabs>
        <w:spacing w:before="240" w:after="240"/>
        <w:ind w:left="720" w:hanging="720"/>
        <w:rPr>
          <w:color w:val="365F91" w:themeColor="accent1" w:themeShade="BF"/>
          <w:sz w:val="28"/>
          <w:szCs w:val="28"/>
        </w:rPr>
        <w:sectPr w:rsidSect="00A51FC1">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53497E">
        <w:rPr>
          <w:color w:val="365F91" w:themeColor="accent1" w:themeShade="BF"/>
          <w:sz w:val="28"/>
          <w:szCs w:val="28"/>
        </w:rPr>
        <w:t>Scope</w:t>
      </w:r>
    </w:p>
    <w:p w:rsidR="00DA266C" w:rsidRPr="004F445E" w:rsidP="004F445E" w14:paraId="0B08E85C" w14:textId="39BABC76">
      <w:pPr>
        <w:spacing w:line="276" w:lineRule="auto"/>
        <w:ind w:left="720"/>
        <w:rPr>
          <w:rFonts w:ascii="Arial" w:hAnsi="Arial" w:cs="Arial"/>
          <w:sz w:val="20"/>
        </w:rPr>
      </w:pPr>
      <w:r w:rsidRPr="00432E40">
        <w:rPr>
          <w:rFonts w:ascii="Arial" w:hAnsi="Arial" w:cs="Arial"/>
          <w:sz w:val="20"/>
        </w:rPr>
        <w:t xml:space="preserve">This </w:t>
      </w:r>
      <w:r w:rsidR="00581A05">
        <w:rPr>
          <w:rFonts w:ascii="Arial" w:hAnsi="Arial" w:cs="Arial"/>
          <w:sz w:val="20"/>
        </w:rPr>
        <w:t>Standard Operating Procedure (</w:t>
      </w:r>
      <w:r w:rsidRPr="00432E40">
        <w:rPr>
          <w:rFonts w:ascii="Arial" w:hAnsi="Arial" w:cs="Arial"/>
          <w:sz w:val="20"/>
        </w:rPr>
        <w:t>SOP</w:t>
      </w:r>
      <w:r w:rsidR="00581A05">
        <w:rPr>
          <w:rFonts w:ascii="Arial" w:hAnsi="Arial" w:cs="Arial"/>
          <w:sz w:val="20"/>
        </w:rPr>
        <w:t>)</w:t>
      </w:r>
      <w:r w:rsidRPr="00432E40">
        <w:rPr>
          <w:rFonts w:ascii="Arial" w:hAnsi="Arial" w:cs="Arial"/>
          <w:sz w:val="20"/>
        </w:rPr>
        <w:t xml:space="preserve"> applies to all new </w:t>
      </w:r>
      <w:r w:rsidR="00ED241A">
        <w:rPr>
          <w:rFonts w:ascii="Arial" w:hAnsi="Arial" w:cs="Arial"/>
          <w:sz w:val="20"/>
        </w:rPr>
        <w:t>employees</w:t>
      </w:r>
      <w:r w:rsidRPr="00432E40">
        <w:rPr>
          <w:rFonts w:ascii="Arial" w:hAnsi="Arial" w:cs="Arial"/>
          <w:sz w:val="20"/>
        </w:rPr>
        <w:t xml:space="preserve"> and </w:t>
      </w:r>
      <w:r w:rsidR="00ED241A">
        <w:rPr>
          <w:rFonts w:ascii="Arial" w:hAnsi="Arial" w:cs="Arial"/>
          <w:sz w:val="20"/>
        </w:rPr>
        <w:t>employees</w:t>
      </w:r>
      <w:r w:rsidRPr="00432E40">
        <w:rPr>
          <w:rFonts w:ascii="Arial" w:hAnsi="Arial" w:cs="Arial"/>
          <w:sz w:val="20"/>
        </w:rPr>
        <w:t xml:space="preserve"> who have taken a new role at </w:t>
      </w:r>
      <w:r w:rsidR="00581A05">
        <w:rPr>
          <w:rFonts w:ascii="Arial" w:hAnsi="Arial" w:cs="Arial"/>
          <w:sz w:val="20"/>
        </w:rPr>
        <w:t>Yale Center for Clinical Investigation (</w:t>
      </w:r>
      <w:r w:rsidRPr="00432E40">
        <w:rPr>
          <w:rFonts w:ascii="Arial" w:hAnsi="Arial" w:cs="Arial"/>
          <w:sz w:val="20"/>
        </w:rPr>
        <w:t>YCCI</w:t>
      </w:r>
      <w:r w:rsidR="00581A05">
        <w:rPr>
          <w:rFonts w:ascii="Arial" w:hAnsi="Arial" w:cs="Arial"/>
          <w:sz w:val="20"/>
        </w:rPr>
        <w:t>)</w:t>
      </w:r>
      <w:r w:rsidRPr="00432E40">
        <w:rPr>
          <w:rFonts w:ascii="Arial" w:hAnsi="Arial" w:cs="Arial"/>
          <w:sz w:val="20"/>
        </w:rPr>
        <w:t xml:space="preserve">.  </w:t>
      </w:r>
    </w:p>
    <w:p w:rsidR="00432E40" w:rsidRPr="0053497E" w:rsidP="004F445E" w14:paraId="27C369D0" w14:textId="3F64E8CC">
      <w:pPr>
        <w:pStyle w:val="ListParagraph"/>
        <w:numPr>
          <w:ilvl w:val="0"/>
          <w:numId w:val="25"/>
        </w:numPr>
        <w:pBdr>
          <w:top w:val="nil"/>
          <w:left w:val="nil"/>
          <w:bottom w:val="nil"/>
          <w:right w:val="nil"/>
          <w:between w:val="nil"/>
        </w:pBdr>
        <w:spacing w:before="240" w:after="240" w:line="276" w:lineRule="auto"/>
        <w:ind w:left="720" w:hanging="720"/>
        <w:contextualSpacing w:val="0"/>
        <w:rPr>
          <w:rFonts w:cs="Arial"/>
          <w:color w:val="365F91" w:themeColor="accent1" w:themeShade="BF"/>
          <w:sz w:val="28"/>
          <w:szCs w:val="28"/>
        </w:rPr>
      </w:pPr>
      <w:bookmarkStart w:id="0" w:name="_Hlk104194874"/>
      <w:r w:rsidRPr="0053497E">
        <w:rPr>
          <w:rFonts w:cs="Arial"/>
          <w:b/>
          <w:color w:val="365F91" w:themeColor="accent1" w:themeShade="BF"/>
          <w:sz w:val="28"/>
          <w:szCs w:val="28"/>
        </w:rPr>
        <w:t>Purpose</w:t>
      </w:r>
      <w:bookmarkEnd w:id="0"/>
    </w:p>
    <w:p w:rsidR="00432E40" w:rsidRPr="009A5B56" w:rsidP="003F62A7" w14:paraId="463DFF27" w14:textId="66F5EA2D">
      <w:pPr>
        <w:spacing w:line="276" w:lineRule="auto"/>
        <w:ind w:left="720"/>
        <w:rPr>
          <w:rFonts w:ascii="Arial" w:hAnsi="Arial" w:cs="Arial"/>
          <w:i/>
          <w:sz w:val="20"/>
          <w:shd w:val="clear" w:color="auto" w:fill="E1F4FF"/>
        </w:rPr>
      </w:pPr>
      <w:r w:rsidRPr="00432E40">
        <w:rPr>
          <w:rFonts w:ascii="Arial" w:hAnsi="Arial" w:cs="Arial"/>
          <w:sz w:val="20"/>
        </w:rPr>
        <w:t xml:space="preserve">The purpose of this Standard Operating Procedure (SOP) is to define the orientation and training requirements </w:t>
      </w:r>
      <w:r w:rsidR="009774F0">
        <w:rPr>
          <w:rFonts w:ascii="Arial" w:hAnsi="Arial" w:cs="Arial"/>
          <w:sz w:val="20"/>
        </w:rPr>
        <w:t>for</w:t>
      </w:r>
      <w:r w:rsidRPr="00432E40">
        <w:rPr>
          <w:rFonts w:ascii="Arial" w:hAnsi="Arial" w:cs="Arial"/>
          <w:sz w:val="20"/>
        </w:rPr>
        <w:t xml:space="preserve"> Yale Center for Clinical Investigation (YCCI) </w:t>
      </w:r>
      <w:r w:rsidR="00ED241A">
        <w:rPr>
          <w:rFonts w:ascii="Arial" w:hAnsi="Arial" w:cs="Arial"/>
          <w:sz w:val="20"/>
        </w:rPr>
        <w:t>employees</w:t>
      </w:r>
      <w:r w:rsidRPr="00432E40">
        <w:rPr>
          <w:rFonts w:ascii="Arial" w:hAnsi="Arial" w:cs="Arial"/>
          <w:sz w:val="20"/>
        </w:rPr>
        <w:t xml:space="preserve"> in keeping</w:t>
      </w:r>
      <w:r w:rsidR="00B15065">
        <w:rPr>
          <w:rFonts w:ascii="Arial" w:hAnsi="Arial" w:cs="Arial"/>
          <w:sz w:val="20"/>
        </w:rPr>
        <w:t xml:space="preserve"> compliant</w:t>
      </w:r>
      <w:r w:rsidRPr="00432E40">
        <w:rPr>
          <w:rFonts w:ascii="Arial" w:hAnsi="Arial" w:cs="Arial"/>
          <w:sz w:val="20"/>
        </w:rPr>
        <w:t xml:space="preserve"> with Yale University policies and procedure, federal regulations, and other applicable guidelines. The policy ensures YCCI </w:t>
      </w:r>
      <w:r w:rsidR="00ED241A">
        <w:rPr>
          <w:rFonts w:ascii="Arial" w:hAnsi="Arial" w:cs="Arial"/>
          <w:sz w:val="20"/>
        </w:rPr>
        <w:t>employees</w:t>
      </w:r>
      <w:r w:rsidRPr="00432E40">
        <w:rPr>
          <w:rFonts w:ascii="Arial" w:hAnsi="Arial" w:cs="Arial"/>
          <w:sz w:val="20"/>
        </w:rPr>
        <w:t xml:space="preserve"> receive adequate training to demonstrate </w:t>
      </w:r>
      <w:r w:rsidRPr="00432E40">
        <w:rPr>
          <w:rFonts w:ascii="Arial" w:hAnsi="Arial" w:cs="Arial"/>
          <w:sz w:val="20"/>
        </w:rPr>
        <w:t>competency</w:t>
      </w:r>
      <w:r w:rsidRPr="00432E40">
        <w:rPr>
          <w:rFonts w:ascii="Arial" w:hAnsi="Arial" w:cs="Arial"/>
          <w:sz w:val="20"/>
        </w:rPr>
        <w:t xml:space="preserve"> in their role.</w:t>
      </w:r>
      <w:r w:rsidRPr="00432E40">
        <w:rPr>
          <w:rFonts w:ascii="Arial" w:hAnsi="Arial" w:cs="Arial"/>
          <w:sz w:val="20"/>
        </w:rPr>
        <w:tab/>
      </w:r>
    </w:p>
    <w:p w:rsidR="00432E40" w:rsidRPr="0053497E" w:rsidP="003F62A7" w14:paraId="6350E99D" w14:textId="1B68AED9">
      <w:pPr>
        <w:pStyle w:val="ListParagraph"/>
        <w:numPr>
          <w:ilvl w:val="0"/>
          <w:numId w:val="25"/>
        </w:numPr>
        <w:pBdr>
          <w:top w:val="nil"/>
          <w:left w:val="nil"/>
          <w:bottom w:val="nil"/>
          <w:right w:val="nil"/>
          <w:between w:val="nil"/>
        </w:pBdr>
        <w:spacing w:before="240" w:after="240" w:line="276" w:lineRule="auto"/>
        <w:ind w:left="720" w:hanging="720"/>
        <w:contextualSpacing w:val="0"/>
        <w:rPr>
          <w:rFonts w:cs="Arial"/>
          <w:b/>
          <w:color w:val="365F91" w:themeColor="accent1" w:themeShade="BF"/>
          <w:sz w:val="28"/>
          <w:szCs w:val="28"/>
        </w:rPr>
      </w:pPr>
      <w:r w:rsidRPr="0053497E">
        <w:rPr>
          <w:rFonts w:cs="Arial"/>
          <w:b/>
          <w:color w:val="365F91" w:themeColor="accent1" w:themeShade="BF"/>
          <w:sz w:val="28"/>
          <w:szCs w:val="28"/>
        </w:rPr>
        <w:t>Definitions and Abbreviations</w:t>
      </w:r>
    </w:p>
    <w:p w:rsidR="00432E40" w:rsidRPr="00432E40" w:rsidP="003F62A7" w14:paraId="321F1815" w14:textId="7F02673E">
      <w:pPr>
        <w:spacing w:line="276" w:lineRule="auto"/>
        <w:ind w:left="720"/>
        <w:rPr>
          <w:rFonts w:ascii="Arial" w:hAnsi="Arial" w:cs="Arial"/>
          <w:sz w:val="20"/>
        </w:rPr>
      </w:pPr>
      <w:r w:rsidRPr="00C721FA">
        <w:rPr>
          <w:rFonts w:ascii="Arial" w:hAnsi="Arial" w:cs="Arial"/>
          <w:b/>
          <w:bCs/>
          <w:sz w:val="20"/>
        </w:rPr>
        <w:t>Clinical Research</w:t>
      </w:r>
      <w:r w:rsidRPr="00432E40">
        <w:rPr>
          <w:rFonts w:ascii="Arial" w:hAnsi="Arial" w:cs="Arial"/>
          <w:sz w:val="20"/>
        </w:rPr>
        <w:t xml:space="preserve"> </w:t>
      </w:r>
      <w:r w:rsidR="00C721FA">
        <w:rPr>
          <w:rFonts w:ascii="Arial" w:hAnsi="Arial" w:cs="Arial"/>
          <w:sz w:val="20"/>
        </w:rPr>
        <w:t>- a</w:t>
      </w:r>
      <w:r w:rsidRPr="00432E40">
        <w:rPr>
          <w:rFonts w:ascii="Arial" w:hAnsi="Arial" w:cs="Arial"/>
          <w:sz w:val="20"/>
        </w:rPr>
        <w:t xml:space="preserve">s defined by the </w:t>
      </w:r>
      <w:r w:rsidR="00376976">
        <w:rPr>
          <w:rFonts w:ascii="Arial" w:hAnsi="Arial" w:cs="Arial"/>
          <w:sz w:val="20"/>
        </w:rPr>
        <w:t>National Institutes of Health (</w:t>
      </w:r>
      <w:r w:rsidRPr="00432E40">
        <w:rPr>
          <w:rFonts w:ascii="Arial" w:hAnsi="Arial" w:cs="Arial"/>
          <w:sz w:val="20"/>
        </w:rPr>
        <w:t>NIH</w:t>
      </w:r>
      <w:r w:rsidR="00376976">
        <w:rPr>
          <w:rFonts w:ascii="Arial" w:hAnsi="Arial" w:cs="Arial"/>
          <w:sz w:val="20"/>
        </w:rPr>
        <w:t>)</w:t>
      </w:r>
      <w:r w:rsidRPr="00432E40">
        <w:rPr>
          <w:rFonts w:ascii="Arial" w:hAnsi="Arial" w:cs="Arial"/>
          <w:sz w:val="20"/>
        </w:rPr>
        <w:t xml:space="preserve">, research performed on human subjects or on material or information obtained from human subjects as part of human experimentation.  </w:t>
      </w:r>
    </w:p>
    <w:p w:rsidR="00432E40" w:rsidRPr="00432E40" w:rsidP="003F62A7" w14:paraId="6DEBB49E" w14:textId="77777777">
      <w:pPr>
        <w:spacing w:line="276" w:lineRule="auto"/>
        <w:ind w:left="720"/>
        <w:rPr>
          <w:rFonts w:ascii="Arial" w:hAnsi="Arial" w:cs="Arial"/>
          <w:sz w:val="20"/>
        </w:rPr>
      </w:pPr>
    </w:p>
    <w:p w:rsidR="00432E40" w:rsidRPr="00432E40" w:rsidP="003F62A7" w14:paraId="067D0D2F" w14:textId="6AB42F91">
      <w:pPr>
        <w:spacing w:line="276" w:lineRule="auto"/>
        <w:ind w:left="720"/>
        <w:rPr>
          <w:rFonts w:ascii="Arial" w:hAnsi="Arial" w:cs="Arial"/>
          <w:sz w:val="20"/>
        </w:rPr>
      </w:pPr>
      <w:r w:rsidRPr="00C721FA">
        <w:rPr>
          <w:rFonts w:ascii="Arial" w:hAnsi="Arial" w:cs="Arial"/>
          <w:b/>
          <w:bCs/>
          <w:sz w:val="20"/>
        </w:rPr>
        <w:t>Code of Federal Regulations (CFR)</w:t>
      </w:r>
      <w:r w:rsidRPr="00432E40">
        <w:rPr>
          <w:rFonts w:ascii="Arial" w:hAnsi="Arial" w:cs="Arial"/>
          <w:sz w:val="20"/>
        </w:rPr>
        <w:t xml:space="preserve"> </w:t>
      </w:r>
      <w:r w:rsidR="00C721FA">
        <w:rPr>
          <w:rFonts w:ascii="Arial" w:hAnsi="Arial" w:cs="Arial"/>
          <w:sz w:val="20"/>
        </w:rPr>
        <w:t>- t</w:t>
      </w:r>
      <w:r w:rsidRPr="00432E40">
        <w:rPr>
          <w:rFonts w:ascii="Arial" w:hAnsi="Arial" w:cs="Arial"/>
          <w:sz w:val="20"/>
        </w:rPr>
        <w:t>he collection of general and permanent rules published by the executive departments and agencies of the Federal Government of the United States. The sections most relevant to clinical research are Titles 21 and 45, usually noted as 21 CFR or 45 CFR, respectively.</w:t>
      </w:r>
    </w:p>
    <w:p w:rsidR="00432E40" w:rsidRPr="00432E40" w:rsidP="003F62A7" w14:paraId="066F7A40" w14:textId="77777777">
      <w:pPr>
        <w:spacing w:line="276" w:lineRule="auto"/>
        <w:ind w:left="720"/>
        <w:rPr>
          <w:rFonts w:ascii="Arial" w:hAnsi="Arial" w:cs="Arial"/>
          <w:sz w:val="20"/>
        </w:rPr>
      </w:pPr>
    </w:p>
    <w:p w:rsidR="00432E40" w:rsidRPr="00432E40" w:rsidP="003F62A7" w14:paraId="7DB1A93C" w14:textId="4AAEACB8">
      <w:pPr>
        <w:spacing w:line="276" w:lineRule="auto"/>
        <w:ind w:left="720"/>
        <w:rPr>
          <w:rFonts w:ascii="Arial" w:hAnsi="Arial" w:cs="Arial"/>
          <w:sz w:val="20"/>
        </w:rPr>
      </w:pPr>
      <w:r w:rsidRPr="00C721FA">
        <w:rPr>
          <w:rFonts w:ascii="Arial" w:hAnsi="Arial" w:cs="Arial"/>
          <w:b/>
          <w:bCs/>
          <w:sz w:val="20"/>
        </w:rPr>
        <w:t>Common Rule</w:t>
      </w:r>
      <w:r w:rsidRPr="00432E40">
        <w:rPr>
          <w:rFonts w:ascii="Arial" w:hAnsi="Arial" w:cs="Arial"/>
          <w:sz w:val="20"/>
        </w:rPr>
        <w:t xml:space="preserve"> </w:t>
      </w:r>
      <w:r w:rsidR="00C721FA">
        <w:rPr>
          <w:rFonts w:ascii="Arial" w:hAnsi="Arial" w:cs="Arial"/>
          <w:sz w:val="20"/>
        </w:rPr>
        <w:t>- t</w:t>
      </w:r>
      <w:r w:rsidRPr="00432E40">
        <w:rPr>
          <w:rFonts w:ascii="Arial" w:hAnsi="Arial" w:cs="Arial"/>
          <w:sz w:val="20"/>
        </w:rPr>
        <w:t>he colloquial name for 45 CFR 46, Subpart A, the basic Department of Health and Human Services (HHS) policy for protection of human research subjects. This regulation consolidates requirements for IRB review and Informed Consent to participate in human subject research.  It applies to any HHS-funded research conducted on human subjects.  FDA regulations (21 CFR Parts 50 and 56) closely mirror the Common Rule. Both sets of regulations apply when research is FDA-regulated and federally funded (wholly or p</w:t>
      </w:r>
      <w:r w:rsidRPr="00432E40">
        <w:rPr>
          <w:rFonts w:ascii="Arial" w:hAnsi="Arial" w:cs="Arial"/>
          <w:sz w:val="20"/>
        </w:rPr>
        <w:t>artially).</w:t>
      </w:r>
    </w:p>
    <w:p w:rsidR="00432E40" w:rsidRPr="00432E40" w:rsidP="003F62A7" w14:paraId="23B667A6" w14:textId="77777777">
      <w:pPr>
        <w:spacing w:line="276" w:lineRule="auto"/>
        <w:ind w:left="720"/>
        <w:rPr>
          <w:rFonts w:ascii="Arial" w:hAnsi="Arial" w:cs="Arial"/>
          <w:sz w:val="20"/>
        </w:rPr>
      </w:pPr>
    </w:p>
    <w:p w:rsidR="00432E40" w:rsidRPr="00432E40" w:rsidP="003F62A7" w14:paraId="27B300BB" w14:textId="08DAE7FF">
      <w:pPr>
        <w:spacing w:line="276" w:lineRule="auto"/>
        <w:ind w:left="720"/>
        <w:rPr>
          <w:rFonts w:ascii="Arial" w:hAnsi="Arial" w:cs="Arial"/>
          <w:sz w:val="20"/>
        </w:rPr>
      </w:pPr>
      <w:r w:rsidRPr="00C721FA">
        <w:rPr>
          <w:rFonts w:ascii="Arial" w:hAnsi="Arial" w:cs="Arial"/>
          <w:b/>
          <w:bCs/>
          <w:sz w:val="20"/>
        </w:rPr>
        <w:t>FDA Guidance</w:t>
      </w:r>
      <w:r w:rsidRPr="00432E40">
        <w:rPr>
          <w:rFonts w:ascii="Arial" w:hAnsi="Arial" w:cs="Arial"/>
          <w:sz w:val="20"/>
        </w:rPr>
        <w:t xml:space="preserve"> </w:t>
      </w:r>
      <w:r w:rsidR="00C721FA">
        <w:rPr>
          <w:rFonts w:ascii="Arial" w:hAnsi="Arial" w:cs="Arial"/>
          <w:sz w:val="20"/>
        </w:rPr>
        <w:t>- d</w:t>
      </w:r>
      <w:r w:rsidRPr="00432E40">
        <w:rPr>
          <w:rFonts w:ascii="Arial" w:hAnsi="Arial" w:cs="Arial"/>
          <w:sz w:val="20"/>
        </w:rPr>
        <w:t xml:space="preserve">ocuments periodically issued by the FDA intended to communicate the agency’s current thinking on a variety of topics that impact Sponsors, sites, IRBs and FDA </w:t>
      </w:r>
      <w:r w:rsidR="00ED241A">
        <w:rPr>
          <w:rFonts w:ascii="Arial" w:hAnsi="Arial" w:cs="Arial"/>
          <w:sz w:val="20"/>
        </w:rPr>
        <w:t>employees</w:t>
      </w:r>
      <w:r w:rsidRPr="00432E40">
        <w:rPr>
          <w:rFonts w:ascii="Arial" w:hAnsi="Arial" w:cs="Arial"/>
          <w:sz w:val="20"/>
        </w:rPr>
        <w:t xml:space="preserve"> involved in clinical investigations. </w:t>
      </w:r>
      <w:r w:rsidRPr="00432E40">
        <w:rPr>
          <w:rFonts w:ascii="Arial" w:hAnsi="Arial" w:cs="Arial"/>
          <w:sz w:val="20"/>
        </w:rPr>
        <w:t>Guidances</w:t>
      </w:r>
      <w:r w:rsidRPr="00432E40">
        <w:rPr>
          <w:rFonts w:ascii="Arial" w:hAnsi="Arial" w:cs="Arial"/>
          <w:sz w:val="20"/>
        </w:rPr>
        <w:t xml:space="preserve"> do not establish legally enforceable responsibilities unless specific regulatory or statutory responsibilities are cited.</w:t>
      </w:r>
    </w:p>
    <w:p w:rsidR="00432E40" w:rsidRPr="00432E40" w:rsidP="003F62A7" w14:paraId="192FCCF8" w14:textId="77777777">
      <w:pPr>
        <w:spacing w:line="276" w:lineRule="auto"/>
        <w:ind w:left="720"/>
        <w:rPr>
          <w:rFonts w:ascii="Arial" w:hAnsi="Arial" w:cs="Arial"/>
          <w:sz w:val="20"/>
        </w:rPr>
      </w:pPr>
    </w:p>
    <w:p w:rsidR="00432E40" w:rsidRPr="00432E40" w:rsidP="003F62A7" w14:paraId="59D70110" w14:textId="36BB9B4D">
      <w:pPr>
        <w:spacing w:line="276" w:lineRule="auto"/>
        <w:ind w:left="720"/>
        <w:rPr>
          <w:rFonts w:ascii="Arial" w:hAnsi="Arial" w:cs="Arial"/>
          <w:sz w:val="20"/>
        </w:rPr>
      </w:pPr>
      <w:r w:rsidRPr="00C721FA">
        <w:rPr>
          <w:rFonts w:ascii="Arial" w:hAnsi="Arial" w:cs="Arial"/>
          <w:b/>
          <w:bCs/>
          <w:sz w:val="20"/>
        </w:rPr>
        <w:t xml:space="preserve">International Council for </w:t>
      </w:r>
      <w:r w:rsidRPr="00C721FA">
        <w:rPr>
          <w:rFonts w:ascii="Arial" w:hAnsi="Arial" w:cs="Arial"/>
          <w:b/>
          <w:bCs/>
          <w:sz w:val="20"/>
        </w:rPr>
        <w:t>Harmonisation</w:t>
      </w:r>
      <w:r w:rsidRPr="00C721FA">
        <w:rPr>
          <w:rFonts w:ascii="Arial" w:hAnsi="Arial" w:cs="Arial"/>
          <w:b/>
          <w:bCs/>
          <w:sz w:val="20"/>
        </w:rPr>
        <w:t xml:space="preserve"> (ICH) Good Clinical Practice (GCP)</w:t>
      </w:r>
      <w:r w:rsidRPr="00432E40">
        <w:rPr>
          <w:rFonts w:ascii="Arial" w:hAnsi="Arial" w:cs="Arial"/>
          <w:sz w:val="20"/>
        </w:rPr>
        <w:t xml:space="preserve"> </w:t>
      </w:r>
      <w:r w:rsidR="00C721FA">
        <w:rPr>
          <w:rFonts w:ascii="Arial" w:hAnsi="Arial" w:cs="Arial"/>
          <w:sz w:val="20"/>
        </w:rPr>
        <w:t>- a</w:t>
      </w:r>
      <w:r w:rsidRPr="00432E40">
        <w:rPr>
          <w:rFonts w:ascii="Arial" w:hAnsi="Arial" w:cs="Arial"/>
          <w:sz w:val="20"/>
        </w:rPr>
        <w:t xml:space="preserve"> standard established by the International Conference on Harmonization (ICH) for the design, conduct, </w:t>
      </w:r>
      <w:r w:rsidRPr="00432E40">
        <w:rPr>
          <w:rFonts w:ascii="Arial" w:hAnsi="Arial" w:cs="Arial"/>
          <w:sz w:val="20"/>
        </w:rPr>
        <w:t>performance, monitoring, auditing, recording, analyses and reporting of clinical studies that provides assurance that the data and reported results are credible and accurate and that the rights, integrity and confidentiality of study subjects are protected.</w:t>
      </w:r>
    </w:p>
    <w:p w:rsidR="00432E40" w:rsidRPr="00432E40" w:rsidP="003F62A7" w14:paraId="28509AC8" w14:textId="77777777">
      <w:pPr>
        <w:spacing w:line="276" w:lineRule="auto"/>
        <w:ind w:left="720"/>
        <w:rPr>
          <w:rFonts w:ascii="Arial" w:hAnsi="Arial" w:cs="Arial"/>
          <w:sz w:val="20"/>
        </w:rPr>
      </w:pPr>
    </w:p>
    <w:p w:rsidR="00432E40" w:rsidRPr="00432E40" w:rsidP="16EF57A9" w14:paraId="374EA793" w14:textId="0DDE0525">
      <w:pPr>
        <w:spacing w:line="276" w:lineRule="auto"/>
        <w:ind w:left="720"/>
        <w:rPr>
          <w:rFonts w:ascii="Arial" w:hAnsi="Arial" w:cs="Arial"/>
          <w:sz w:val="20"/>
          <w:szCs w:val="20"/>
        </w:rPr>
      </w:pPr>
      <w:r w:rsidRPr="16EF57A9" w:rsidR="16EF57A9">
        <w:rPr>
          <w:rFonts w:ascii="Arial" w:hAnsi="Arial" w:cs="Arial"/>
          <w:b/>
          <w:bCs/>
          <w:sz w:val="20"/>
          <w:szCs w:val="20"/>
        </w:rPr>
        <w:t>Protocol</w:t>
      </w:r>
      <w:r w:rsidRPr="16EF57A9" w:rsidR="16EF57A9">
        <w:rPr>
          <w:rFonts w:ascii="Arial" w:hAnsi="Arial" w:cs="Arial"/>
          <w:sz w:val="20"/>
          <w:szCs w:val="20"/>
        </w:rPr>
        <w:t xml:space="preserve"> – a document that describes the </w:t>
      </w:r>
      <w:r w:rsidRPr="16EF57A9" w:rsidR="16EF57A9">
        <w:rPr>
          <w:rFonts w:ascii="Arial" w:hAnsi="Arial" w:cs="Arial"/>
          <w:sz w:val="20"/>
          <w:szCs w:val="20"/>
        </w:rPr>
        <w:t>objective(s)</w:t>
      </w:r>
      <w:r w:rsidRPr="16EF57A9" w:rsidR="16EF57A9">
        <w:rPr>
          <w:rFonts w:ascii="Arial" w:hAnsi="Arial" w:cs="Arial"/>
          <w:sz w:val="20"/>
          <w:szCs w:val="20"/>
        </w:rPr>
        <w:t xml:space="preserve">, design, </w:t>
      </w:r>
      <w:r w:rsidRPr="16EF57A9" w:rsidR="16EF57A9">
        <w:rPr>
          <w:rFonts w:ascii="Arial" w:hAnsi="Arial" w:cs="Arial"/>
          <w:sz w:val="20"/>
          <w:szCs w:val="20"/>
        </w:rPr>
        <w:t>methodology</w:t>
      </w:r>
      <w:r w:rsidRPr="16EF57A9" w:rsidR="16EF57A9">
        <w:rPr>
          <w:rFonts w:ascii="Arial" w:hAnsi="Arial" w:cs="Arial"/>
          <w:sz w:val="20"/>
          <w:szCs w:val="20"/>
        </w:rPr>
        <w:t xml:space="preserve">, statistical </w:t>
      </w:r>
      <w:r w:rsidRPr="16EF57A9" w:rsidR="16EF57A9">
        <w:rPr>
          <w:rFonts w:ascii="Arial" w:hAnsi="Arial" w:cs="Arial"/>
          <w:sz w:val="20"/>
          <w:szCs w:val="20"/>
        </w:rPr>
        <w:t>considerations</w:t>
      </w:r>
      <w:r w:rsidRPr="16EF57A9" w:rsidR="16EF57A9">
        <w:rPr>
          <w:rFonts w:ascii="Arial" w:hAnsi="Arial" w:cs="Arial"/>
          <w:sz w:val="20"/>
          <w:szCs w:val="20"/>
        </w:rPr>
        <w:t xml:space="preserve"> and </w:t>
      </w:r>
      <w:r w:rsidRPr="16EF57A9" w:rsidR="16EF57A9">
        <w:rPr>
          <w:rFonts w:ascii="Arial" w:hAnsi="Arial" w:cs="Arial"/>
          <w:sz w:val="20"/>
          <w:szCs w:val="20"/>
        </w:rPr>
        <w:t>organization</w:t>
      </w:r>
      <w:r w:rsidRPr="16EF57A9" w:rsidR="16EF57A9">
        <w:rPr>
          <w:rFonts w:ascii="Arial" w:hAnsi="Arial" w:cs="Arial"/>
          <w:sz w:val="20"/>
          <w:szCs w:val="20"/>
        </w:rPr>
        <w:t xml:space="preserve"> of a trial. The protocol usually also gives the background and rationale for the trial, but these could be provided in other protocol referenced documents.</w:t>
      </w:r>
    </w:p>
    <w:p w:rsidR="00432E40" w:rsidRPr="00432E40" w:rsidP="003F62A7" w14:paraId="5F7F7FBA" w14:textId="77777777">
      <w:pPr>
        <w:spacing w:line="276" w:lineRule="auto"/>
        <w:ind w:left="720"/>
        <w:rPr>
          <w:rFonts w:ascii="Arial" w:hAnsi="Arial" w:cs="Arial"/>
          <w:sz w:val="20"/>
        </w:rPr>
      </w:pPr>
    </w:p>
    <w:p w:rsidR="00432E40" w:rsidRPr="00432E40" w:rsidP="16EF57A9" w14:paraId="46DCAD07" w14:textId="12D50385">
      <w:pPr>
        <w:spacing w:line="276" w:lineRule="auto"/>
        <w:ind w:left="720"/>
        <w:rPr>
          <w:rFonts w:ascii="Arial" w:hAnsi="Arial" w:cs="Arial"/>
          <w:sz w:val="20"/>
          <w:szCs w:val="20"/>
        </w:rPr>
      </w:pPr>
      <w:r w:rsidRPr="16EF57A9" w:rsidR="16EF57A9">
        <w:rPr>
          <w:rFonts w:ascii="Arial" w:hAnsi="Arial" w:cs="Arial"/>
          <w:b/>
          <w:bCs/>
          <w:sz w:val="20"/>
          <w:szCs w:val="20"/>
        </w:rPr>
        <w:t xml:space="preserve">Standard Operating Procedures (SOPs) </w:t>
      </w:r>
      <w:r w:rsidRPr="16EF57A9" w:rsidR="16EF57A9">
        <w:rPr>
          <w:rFonts w:ascii="Arial" w:hAnsi="Arial" w:cs="Arial"/>
          <w:sz w:val="20"/>
          <w:szCs w:val="20"/>
        </w:rPr>
        <w:t>- detailed, documented instructions to achieve uniformity of the performance of a specific activity.</w:t>
      </w:r>
    </w:p>
    <w:p w:rsidR="009A5B56" w:rsidRPr="0053497E" w:rsidP="009A5B56" w14:paraId="0DDAAD9A" w14:textId="77777777">
      <w:pPr>
        <w:pStyle w:val="ListParagraph"/>
        <w:numPr>
          <w:ilvl w:val="0"/>
          <w:numId w:val="25"/>
        </w:numPr>
        <w:pBdr>
          <w:top w:val="nil"/>
          <w:left w:val="nil"/>
          <w:bottom w:val="nil"/>
          <w:right w:val="nil"/>
          <w:between w:val="nil"/>
        </w:pBdr>
        <w:spacing w:before="240" w:after="240" w:line="276" w:lineRule="auto"/>
        <w:ind w:left="720" w:hanging="720"/>
        <w:contextualSpacing w:val="0"/>
        <w:rPr>
          <w:rFonts w:cs="Arial"/>
          <w:b/>
          <w:color w:val="365F91" w:themeColor="accent1" w:themeShade="BF"/>
          <w:sz w:val="28"/>
          <w:szCs w:val="28"/>
        </w:rPr>
      </w:pPr>
      <w:r w:rsidRPr="0053497E">
        <w:rPr>
          <w:rFonts w:cs="Arial"/>
          <w:b/>
          <w:color w:val="365F91" w:themeColor="accent1" w:themeShade="BF"/>
          <w:sz w:val="28"/>
          <w:szCs w:val="28"/>
        </w:rPr>
        <w:t>Procedure</w:t>
      </w:r>
    </w:p>
    <w:p w:rsidR="0049441A" w:rsidRPr="0049441A" w:rsidP="0049441A" w14:paraId="03ECBCD3" w14:textId="0C7158E6">
      <w:pPr>
        <w:pStyle w:val="ListParagraph"/>
        <w:numPr>
          <w:ilvl w:val="1"/>
          <w:numId w:val="25"/>
        </w:numPr>
        <w:pBdr>
          <w:top w:val="nil"/>
          <w:left w:val="nil"/>
          <w:bottom w:val="nil"/>
          <w:right w:val="nil"/>
          <w:between w:val="nil"/>
        </w:pBdr>
        <w:spacing w:before="120" w:after="120" w:line="276" w:lineRule="auto"/>
        <w:contextualSpacing w:val="0"/>
        <w:rPr>
          <w:rFonts w:cs="Arial"/>
          <w:b/>
          <w:color w:val="000000"/>
          <w:sz w:val="24"/>
          <w:szCs w:val="24"/>
        </w:rPr>
      </w:pPr>
      <w:r>
        <w:rPr>
          <w:rFonts w:cs="Arial"/>
          <w:b/>
        </w:rPr>
        <w:t xml:space="preserve">Onboarding and </w:t>
      </w:r>
      <w:r w:rsidRPr="009A5B56" w:rsidR="000A2FA4">
        <w:rPr>
          <w:rFonts w:cs="Arial"/>
          <w:b/>
        </w:rPr>
        <w:t>Orientation Plan</w:t>
      </w:r>
    </w:p>
    <w:p w:rsidR="00ED241A" w:rsidRPr="00594A40" w:rsidP="00ED241A" w14:paraId="5B19ED21" w14:textId="659EA72C">
      <w:pPr>
        <w:pStyle w:val="ListParagraph"/>
        <w:numPr>
          <w:ilvl w:val="2"/>
          <w:numId w:val="25"/>
        </w:numPr>
        <w:pBdr>
          <w:top w:val="nil"/>
          <w:left w:val="nil"/>
          <w:bottom w:val="nil"/>
          <w:right w:val="nil"/>
          <w:between w:val="nil"/>
        </w:pBdr>
        <w:spacing w:before="120" w:after="120" w:line="276" w:lineRule="auto"/>
        <w:ind w:left="1800"/>
        <w:contextualSpacing w:val="0"/>
        <w:rPr>
          <w:rFonts w:cs="Arial"/>
          <w:b/>
          <w:color w:val="000000"/>
          <w:sz w:val="24"/>
          <w:szCs w:val="24"/>
        </w:rPr>
      </w:pPr>
      <w:r w:rsidRPr="0049441A">
        <w:rPr>
          <w:rFonts w:cs="Arial"/>
        </w:rPr>
        <w:t xml:space="preserve">Prior to new </w:t>
      </w:r>
      <w:r>
        <w:rPr>
          <w:rFonts w:cs="Arial"/>
        </w:rPr>
        <w:t>employee</w:t>
      </w:r>
      <w:r w:rsidRPr="0049441A">
        <w:rPr>
          <w:rFonts w:cs="Arial"/>
        </w:rPr>
        <w:t>'s</w:t>
      </w:r>
      <w:r w:rsidRPr="0049441A">
        <w:rPr>
          <w:rFonts w:cs="Arial"/>
        </w:rPr>
        <w:t xml:space="preserve"> start date, the </w:t>
      </w:r>
      <w:r>
        <w:rPr>
          <w:rFonts w:cs="Arial"/>
        </w:rPr>
        <w:t>Manager</w:t>
      </w:r>
      <w:r w:rsidRPr="0049441A">
        <w:rPr>
          <w:rFonts w:cs="Arial"/>
        </w:rPr>
        <w:t xml:space="preserve"> will</w:t>
      </w:r>
      <w:r>
        <w:rPr>
          <w:rFonts w:cs="Arial"/>
        </w:rPr>
        <w:t xml:space="preserve"> use the YCCI Onboarding a New Employee Checklist to</w:t>
      </w:r>
      <w:r w:rsidRPr="0049441A">
        <w:rPr>
          <w:rFonts w:cs="Arial"/>
        </w:rPr>
        <w:t xml:space="preserve"> </w:t>
      </w:r>
      <w:r>
        <w:rPr>
          <w:rFonts w:cs="Arial"/>
        </w:rPr>
        <w:t xml:space="preserve">ensure all onboarding activities are addressed prior to the </w:t>
      </w:r>
      <w:r>
        <w:rPr>
          <w:rFonts w:cs="Arial"/>
        </w:rPr>
        <w:t>employees</w:t>
      </w:r>
      <w:r>
        <w:rPr>
          <w:rFonts w:cs="Arial"/>
        </w:rPr>
        <w:t xml:space="preserve"> start date. This includes but is not limited to ordering equipment, obtaining NetID, providing </w:t>
      </w:r>
      <w:r>
        <w:rPr>
          <w:rFonts w:cs="Arial"/>
        </w:rPr>
        <w:t>employee</w:t>
      </w:r>
      <w:r>
        <w:rPr>
          <w:rFonts w:cs="Arial"/>
        </w:rPr>
        <w:t xml:space="preserve"> with details about their start date, and identifying work location.</w:t>
      </w:r>
    </w:p>
    <w:p w:rsidR="00ED241A" w:rsidRPr="0049441A" w:rsidP="00ED241A" w14:paraId="0CAAF923" w14:textId="77777777">
      <w:pPr>
        <w:pStyle w:val="ListParagraph"/>
        <w:numPr>
          <w:ilvl w:val="2"/>
          <w:numId w:val="25"/>
        </w:numPr>
        <w:pBdr>
          <w:top w:val="nil"/>
          <w:left w:val="nil"/>
          <w:bottom w:val="nil"/>
          <w:right w:val="nil"/>
          <w:between w:val="nil"/>
        </w:pBdr>
        <w:spacing w:before="120" w:after="120" w:line="276" w:lineRule="auto"/>
        <w:ind w:left="1800"/>
        <w:contextualSpacing w:val="0"/>
        <w:rPr>
          <w:rFonts w:cs="Arial"/>
          <w:b/>
          <w:color w:val="000000"/>
          <w:sz w:val="24"/>
          <w:szCs w:val="24"/>
        </w:rPr>
      </w:pPr>
      <w:r>
        <w:rPr>
          <w:rFonts w:cs="Arial"/>
        </w:rPr>
        <w:t xml:space="preserve">In addition, the Manager will </w:t>
      </w:r>
      <w:r w:rsidRPr="0049441A">
        <w:rPr>
          <w:rFonts w:cs="Arial"/>
        </w:rPr>
        <w:t xml:space="preserve">establish </w:t>
      </w:r>
      <w:r>
        <w:rPr>
          <w:rFonts w:cs="Arial"/>
        </w:rPr>
        <w:t>an</w:t>
      </w:r>
      <w:r w:rsidRPr="0049441A">
        <w:rPr>
          <w:rFonts w:cs="Arial"/>
        </w:rPr>
        <w:t xml:space="preserve"> orientation training plan and determine the goal of the plan and how it will be determined that the goal has been </w:t>
      </w:r>
      <w:r>
        <w:rPr>
          <w:rFonts w:cs="Arial"/>
        </w:rPr>
        <w:t>met.</w:t>
      </w:r>
    </w:p>
    <w:p w:rsidR="00ED241A" w:rsidRPr="0049441A" w:rsidP="00ED241A" w14:paraId="162467A5" w14:textId="77777777">
      <w:pPr>
        <w:pStyle w:val="ListParagraph"/>
        <w:numPr>
          <w:ilvl w:val="2"/>
          <w:numId w:val="25"/>
        </w:numPr>
        <w:pBdr>
          <w:top w:val="nil"/>
          <w:left w:val="nil"/>
          <w:bottom w:val="nil"/>
          <w:right w:val="nil"/>
          <w:between w:val="nil"/>
        </w:pBdr>
        <w:spacing w:before="120" w:after="120" w:line="276" w:lineRule="auto"/>
        <w:ind w:left="1800"/>
        <w:contextualSpacing w:val="0"/>
        <w:rPr>
          <w:rFonts w:cs="Arial"/>
          <w:b/>
          <w:bCs/>
          <w:color w:val="000000"/>
          <w:sz w:val="24"/>
          <w:szCs w:val="24"/>
        </w:rPr>
      </w:pPr>
      <w:r w:rsidRPr="1EA648E3">
        <w:rPr>
          <w:rFonts w:cs="Arial"/>
        </w:rPr>
        <w:t xml:space="preserve">The Manager is responsible for ensuring all individuals included in the training plan understand the schedule and will be available. </w:t>
      </w:r>
    </w:p>
    <w:p w:rsidR="00ED241A" w:rsidRPr="0049441A" w:rsidP="00ED241A" w14:paraId="0DA8D3B3" w14:textId="38CC7685">
      <w:pPr>
        <w:pStyle w:val="ListParagraph"/>
        <w:numPr>
          <w:ilvl w:val="2"/>
          <w:numId w:val="25"/>
        </w:numPr>
        <w:pBdr>
          <w:top w:val="nil"/>
          <w:left w:val="nil"/>
          <w:bottom w:val="nil"/>
          <w:right w:val="nil"/>
          <w:between w:val="nil"/>
        </w:pBdr>
        <w:spacing w:before="120" w:after="120" w:line="276" w:lineRule="auto"/>
        <w:ind w:left="1800"/>
        <w:contextualSpacing w:val="0"/>
        <w:rPr>
          <w:rFonts w:cs="Arial"/>
          <w:b/>
          <w:bCs/>
          <w:color w:val="000000"/>
          <w:sz w:val="24"/>
          <w:szCs w:val="24"/>
        </w:rPr>
      </w:pPr>
      <w:r w:rsidRPr="1EA648E3">
        <w:rPr>
          <w:rFonts w:cs="Arial"/>
        </w:rPr>
        <w:t>The Manager will review and discuss the orientation and training plan with the new</w:t>
      </w:r>
      <w:r>
        <w:rPr>
          <w:rFonts w:cs="Arial"/>
        </w:rPr>
        <w:t xml:space="preserve"> employee</w:t>
      </w:r>
      <w:r w:rsidRPr="1EA648E3">
        <w:rPr>
          <w:rFonts w:cs="Arial"/>
        </w:rPr>
        <w:t xml:space="preserve">. If adjustments are to be made, the plan is to be </w:t>
      </w:r>
      <w:r w:rsidRPr="1EA648E3">
        <w:rPr>
          <w:rFonts w:cs="Arial"/>
        </w:rPr>
        <w:t>revised</w:t>
      </w:r>
      <w:r w:rsidRPr="1EA648E3">
        <w:rPr>
          <w:rFonts w:cs="Arial"/>
        </w:rPr>
        <w:t xml:space="preserve"> and the Manager will notify those conducting training regarding changes that may affect them. </w:t>
      </w:r>
    </w:p>
    <w:p w:rsidR="00ED241A" w:rsidRPr="0049441A" w:rsidP="00ED241A" w14:paraId="20CE3AB1" w14:textId="16EB9932">
      <w:pPr>
        <w:pStyle w:val="ListParagraph"/>
        <w:numPr>
          <w:ilvl w:val="2"/>
          <w:numId w:val="25"/>
        </w:numPr>
        <w:pBdr>
          <w:top w:val="nil"/>
          <w:left w:val="nil"/>
          <w:bottom w:val="nil"/>
          <w:right w:val="nil"/>
          <w:between w:val="nil"/>
        </w:pBdr>
        <w:spacing w:before="120" w:after="120" w:line="276" w:lineRule="auto"/>
        <w:ind w:left="1800"/>
        <w:contextualSpacing w:val="0"/>
        <w:rPr>
          <w:rFonts w:cs="Arial"/>
          <w:b/>
          <w:color w:val="000000"/>
          <w:sz w:val="24"/>
          <w:szCs w:val="24"/>
        </w:rPr>
      </w:pPr>
      <w:r>
        <w:rPr>
          <w:rFonts w:cs="Arial"/>
        </w:rPr>
        <w:t>The Manager</w:t>
      </w:r>
      <w:r w:rsidRPr="0049441A">
        <w:rPr>
          <w:rFonts w:cs="Arial"/>
        </w:rPr>
        <w:t xml:space="preserve"> </w:t>
      </w:r>
      <w:r>
        <w:rPr>
          <w:rFonts w:cs="Arial"/>
        </w:rPr>
        <w:t xml:space="preserve">will routinely meet with the new employee during </w:t>
      </w:r>
      <w:r w:rsidRPr="00B15065">
        <w:rPr>
          <w:rFonts w:cs="Arial"/>
        </w:rPr>
        <w:t>the initial onboarding / orientation period</w:t>
      </w:r>
      <w:r>
        <w:rPr>
          <w:rFonts w:cs="Arial"/>
        </w:rPr>
        <w:t xml:space="preserve"> to ensure they are on target to complete initial training. Yale’s probationary period is 90 days. If during the initial 90 </w:t>
      </w:r>
      <w:r>
        <w:rPr>
          <w:rFonts w:cs="Arial"/>
        </w:rPr>
        <w:t>days,</w:t>
      </w:r>
      <w:r>
        <w:rPr>
          <w:rFonts w:cs="Arial"/>
        </w:rPr>
        <w:t xml:space="preserve"> </w:t>
      </w:r>
      <w:r w:rsidRPr="0049441A">
        <w:rPr>
          <w:rFonts w:cs="Arial"/>
        </w:rPr>
        <w:t xml:space="preserve">there are any aspects of the job that are still unclear, it is the responsibility of the </w:t>
      </w:r>
      <w:r>
        <w:rPr>
          <w:rFonts w:cs="Arial"/>
        </w:rPr>
        <w:t>Manager</w:t>
      </w:r>
      <w:r w:rsidRPr="0049441A">
        <w:rPr>
          <w:rFonts w:cs="Arial"/>
        </w:rPr>
        <w:t xml:space="preserve"> to make sure these areas are addressed as needed. </w:t>
      </w:r>
      <w:r>
        <w:rPr>
          <w:rFonts w:cs="Arial"/>
        </w:rPr>
        <w:t>The Manager</w:t>
      </w:r>
      <w:r w:rsidRPr="0049441A">
        <w:rPr>
          <w:rFonts w:cs="Arial"/>
        </w:rPr>
        <w:t xml:space="preserve"> may </w:t>
      </w:r>
      <w:r w:rsidRPr="0049441A">
        <w:rPr>
          <w:rFonts w:cs="Arial"/>
        </w:rPr>
        <w:t>discuss</w:t>
      </w:r>
      <w:r w:rsidRPr="0049441A">
        <w:rPr>
          <w:rFonts w:cs="Arial"/>
        </w:rPr>
        <w:t xml:space="preserve"> with their </w:t>
      </w:r>
      <w:r>
        <w:rPr>
          <w:rFonts w:cs="Arial"/>
        </w:rPr>
        <w:t>Manager</w:t>
      </w:r>
      <w:r w:rsidRPr="0049441A">
        <w:rPr>
          <w:rFonts w:cs="Arial"/>
        </w:rPr>
        <w:t xml:space="preserve"> and/or HR to address additional training needed. </w:t>
      </w:r>
    </w:p>
    <w:p w:rsidR="00ED241A" w:rsidRPr="0049441A" w:rsidP="00ED241A" w14:paraId="22AE68C7" w14:textId="77777777">
      <w:pPr>
        <w:pStyle w:val="ListParagraph"/>
        <w:numPr>
          <w:ilvl w:val="2"/>
          <w:numId w:val="25"/>
        </w:numPr>
        <w:pBdr>
          <w:top w:val="nil"/>
          <w:left w:val="nil"/>
          <w:bottom w:val="nil"/>
          <w:right w:val="nil"/>
          <w:between w:val="nil"/>
        </w:pBdr>
        <w:spacing w:before="120" w:after="120" w:line="276" w:lineRule="auto"/>
        <w:ind w:left="1800"/>
        <w:contextualSpacing w:val="0"/>
        <w:rPr>
          <w:rFonts w:cs="Arial"/>
          <w:b/>
          <w:color w:val="000000"/>
          <w:sz w:val="24"/>
          <w:szCs w:val="24"/>
        </w:rPr>
      </w:pPr>
      <w:bookmarkStart w:id="1" w:name="_Hlk162346192"/>
      <w:r>
        <w:rPr>
          <w:rFonts w:cs="Arial"/>
        </w:rPr>
        <w:t>Manager</w:t>
      </w:r>
      <w:r w:rsidRPr="0049441A">
        <w:rPr>
          <w:rFonts w:cs="Arial"/>
        </w:rPr>
        <w:t xml:space="preserve"> is responsible for </w:t>
      </w:r>
      <w:r>
        <w:rPr>
          <w:rFonts w:cs="Arial"/>
        </w:rPr>
        <w:t>ensuring</w:t>
      </w:r>
      <w:r w:rsidRPr="0049441A">
        <w:rPr>
          <w:rFonts w:cs="Arial"/>
        </w:rPr>
        <w:t xml:space="preserve"> completion of the formal orientation and training program.  </w:t>
      </w:r>
    </w:p>
    <w:bookmarkEnd w:id="1"/>
    <w:p w:rsidR="0049441A" w:rsidRPr="0049441A" w:rsidP="00ED241A" w14:paraId="73AAFF8E" w14:textId="7505194A">
      <w:pPr>
        <w:pStyle w:val="ListParagraph"/>
        <w:numPr>
          <w:ilvl w:val="1"/>
          <w:numId w:val="25"/>
        </w:numPr>
        <w:pBdr>
          <w:top w:val="nil"/>
          <w:left w:val="nil"/>
          <w:bottom w:val="nil"/>
          <w:right w:val="nil"/>
          <w:between w:val="nil"/>
        </w:pBdr>
        <w:spacing w:before="120" w:after="120" w:line="276" w:lineRule="auto"/>
        <w:contextualSpacing w:val="0"/>
        <w:rPr>
          <w:rFonts w:cs="Arial"/>
        </w:rPr>
      </w:pPr>
      <w:r>
        <w:rPr>
          <w:rFonts w:cs="Arial"/>
          <w:b/>
        </w:rPr>
        <w:t>Required Trainings</w:t>
      </w:r>
    </w:p>
    <w:p w:rsidR="00ED241A" w:rsidP="00ED241A" w14:paraId="7B83A161" w14:textId="495896FE">
      <w:pPr>
        <w:pStyle w:val="ListParagraph"/>
        <w:numPr>
          <w:ilvl w:val="2"/>
          <w:numId w:val="25"/>
        </w:numPr>
        <w:pBdr>
          <w:top w:val="nil"/>
          <w:left w:val="nil"/>
          <w:bottom w:val="nil"/>
          <w:right w:val="nil"/>
          <w:between w:val="nil"/>
        </w:pBdr>
        <w:spacing w:before="120" w:after="120" w:line="276" w:lineRule="auto"/>
        <w:ind w:left="1800"/>
        <w:contextualSpacing w:val="0"/>
        <w:rPr>
          <w:rFonts w:cs="Arial"/>
        </w:rPr>
      </w:pPr>
      <w:r w:rsidRPr="0049441A">
        <w:rPr>
          <w:rFonts w:cs="Arial"/>
        </w:rPr>
        <w:t xml:space="preserve">As part of Yale University onboarding, new </w:t>
      </w:r>
      <w:r>
        <w:rPr>
          <w:rFonts w:cs="Arial"/>
        </w:rPr>
        <w:t>employees</w:t>
      </w:r>
      <w:r w:rsidRPr="0049441A">
        <w:rPr>
          <w:rFonts w:cs="Arial"/>
        </w:rPr>
        <w:t xml:space="preserve"> or </w:t>
      </w:r>
      <w:r>
        <w:rPr>
          <w:rFonts w:cs="Arial"/>
        </w:rPr>
        <w:t>employees</w:t>
      </w:r>
      <w:r w:rsidRPr="0049441A">
        <w:rPr>
          <w:rFonts w:cs="Arial"/>
        </w:rPr>
        <w:t xml:space="preserve"> transitioning to a new role are required to </w:t>
      </w:r>
      <w:r>
        <w:rPr>
          <w:rFonts w:cs="Arial"/>
        </w:rPr>
        <w:t xml:space="preserve">have a completed compliance assessment in Workday. The compliance assessment </w:t>
      </w:r>
      <w:r w:rsidRPr="0049441A">
        <w:rPr>
          <w:rFonts w:cs="Arial"/>
        </w:rPr>
        <w:t>ident</w:t>
      </w:r>
      <w:r>
        <w:rPr>
          <w:rFonts w:cs="Arial"/>
        </w:rPr>
        <w:t>ifies</w:t>
      </w:r>
      <w:r w:rsidRPr="0049441A">
        <w:rPr>
          <w:rFonts w:cs="Arial"/>
        </w:rPr>
        <w:t xml:space="preserve"> University required </w:t>
      </w:r>
      <w:r w:rsidRPr="0049441A">
        <w:rPr>
          <w:rFonts w:cs="Arial"/>
        </w:rPr>
        <w:t>trainings</w:t>
      </w:r>
      <w:r w:rsidRPr="0049441A">
        <w:rPr>
          <w:rFonts w:cs="Arial"/>
        </w:rPr>
        <w:t xml:space="preserve">, per Yale University Policy 1010. </w:t>
      </w:r>
      <w:r>
        <w:rPr>
          <w:rFonts w:cs="Arial"/>
        </w:rPr>
        <w:t xml:space="preserve">It is the responsibility of the hiring manager to complete the compliance assessment before or on the employee’s start date. University required </w:t>
      </w:r>
      <w:r>
        <w:rPr>
          <w:rFonts w:cs="Arial"/>
        </w:rPr>
        <w:t>trainings</w:t>
      </w:r>
      <w:r>
        <w:rPr>
          <w:rFonts w:cs="Arial"/>
        </w:rPr>
        <w:t xml:space="preserve"> must be completed by the employee </w:t>
      </w:r>
      <w:r w:rsidRPr="0049441A">
        <w:rPr>
          <w:rFonts w:cs="Arial"/>
        </w:rPr>
        <w:t xml:space="preserve">within </w:t>
      </w:r>
      <w:r>
        <w:rPr>
          <w:rFonts w:cs="Arial"/>
        </w:rPr>
        <w:t>30</w:t>
      </w:r>
      <w:r w:rsidRPr="0049441A">
        <w:rPr>
          <w:rFonts w:cs="Arial"/>
        </w:rPr>
        <w:t xml:space="preserve"> days</w:t>
      </w:r>
      <w:r>
        <w:rPr>
          <w:rFonts w:cs="Arial"/>
        </w:rPr>
        <w:t xml:space="preserve"> of assignment. </w:t>
      </w:r>
      <w:r w:rsidRPr="0049441A">
        <w:rPr>
          <w:rFonts w:cs="Arial"/>
        </w:rPr>
        <w:t xml:space="preserve">  </w:t>
      </w:r>
    </w:p>
    <w:p w:rsidR="00ED241A" w:rsidP="00ED241A" w14:paraId="03D309DB" w14:textId="77777777">
      <w:pPr>
        <w:pStyle w:val="ListParagraph"/>
        <w:numPr>
          <w:ilvl w:val="2"/>
          <w:numId w:val="25"/>
        </w:numPr>
        <w:pBdr>
          <w:top w:val="nil"/>
          <w:left w:val="nil"/>
          <w:bottom w:val="nil"/>
          <w:right w:val="nil"/>
          <w:between w:val="nil"/>
        </w:pBdr>
        <w:tabs>
          <w:tab w:val="left" w:pos="990"/>
        </w:tabs>
        <w:spacing w:before="120" w:after="120" w:line="276" w:lineRule="auto"/>
        <w:ind w:left="1800"/>
        <w:contextualSpacing w:val="0"/>
        <w:rPr>
          <w:rFonts w:cs="Arial"/>
        </w:rPr>
      </w:pPr>
      <w:r>
        <w:rPr>
          <w:rFonts w:cs="Arial"/>
        </w:rPr>
        <w:t>Employees</w:t>
      </w:r>
      <w:r w:rsidRPr="009774F0">
        <w:rPr>
          <w:rFonts w:cs="Arial"/>
        </w:rPr>
        <w:t xml:space="preserve"> must complete YCCI’s Clinical Research Foundations program </w:t>
      </w:r>
      <w:r>
        <w:rPr>
          <w:rFonts w:cs="Arial"/>
        </w:rPr>
        <w:t>which is broken up into 3 courses.</w:t>
      </w:r>
      <w:r w:rsidRPr="009774F0">
        <w:rPr>
          <w:rFonts w:cs="Arial"/>
        </w:rPr>
        <w:t xml:space="preserve"> The courses must be completed within 90 days of </w:t>
      </w:r>
      <w:r>
        <w:rPr>
          <w:rFonts w:cs="Arial"/>
        </w:rPr>
        <w:t>Employee’s</w:t>
      </w:r>
      <w:r w:rsidRPr="009774F0">
        <w:rPr>
          <w:rFonts w:cs="Arial"/>
        </w:rPr>
        <w:t xml:space="preserve"> starting their role at YCCI. </w:t>
      </w:r>
    </w:p>
    <w:p w:rsidR="00ED241A" w:rsidRPr="0049441A" w:rsidP="00ED241A" w14:paraId="522DB8F3" w14:textId="66A57AD8">
      <w:pPr>
        <w:pStyle w:val="ListParagraph"/>
        <w:numPr>
          <w:ilvl w:val="2"/>
          <w:numId w:val="25"/>
        </w:numPr>
        <w:pBdr>
          <w:top w:val="nil"/>
          <w:left w:val="nil"/>
          <w:bottom w:val="nil"/>
          <w:right w:val="nil"/>
          <w:between w:val="nil"/>
        </w:pBdr>
        <w:tabs>
          <w:tab w:val="left" w:pos="2070"/>
        </w:tabs>
        <w:spacing w:line="276" w:lineRule="auto"/>
        <w:ind w:left="1800"/>
        <w:rPr>
          <w:rFonts w:cs="Arial"/>
        </w:rPr>
      </w:pPr>
      <w:r>
        <w:rPr>
          <w:rFonts w:cs="Arial"/>
        </w:rPr>
        <w:t>Employees</w:t>
      </w:r>
      <w:r w:rsidRPr="0049441A">
        <w:rPr>
          <w:rFonts w:cs="Arial"/>
        </w:rPr>
        <w:t xml:space="preserve"> will be trained on applicable YCCI Standard Operating Procedures (SOPs) and will receive</w:t>
      </w:r>
      <w:r>
        <w:rPr>
          <w:rFonts w:cs="Arial"/>
        </w:rPr>
        <w:t xml:space="preserve"> training specific to their level of responsibility. </w:t>
      </w:r>
      <w:r w:rsidRPr="0049441A">
        <w:rPr>
          <w:rFonts w:cs="Arial"/>
        </w:rPr>
        <w:t xml:space="preserve">It is the responsibility of the </w:t>
      </w:r>
      <w:r>
        <w:rPr>
          <w:rFonts w:cs="Arial"/>
        </w:rPr>
        <w:t>Manager</w:t>
      </w:r>
      <w:r w:rsidRPr="0049441A">
        <w:rPr>
          <w:rFonts w:cs="Arial"/>
        </w:rPr>
        <w:t xml:space="preserve"> to ensure </w:t>
      </w:r>
      <w:r>
        <w:rPr>
          <w:rFonts w:cs="Arial"/>
        </w:rPr>
        <w:t>employee</w:t>
      </w:r>
      <w:r w:rsidRPr="0049441A">
        <w:rPr>
          <w:rFonts w:cs="Arial"/>
        </w:rPr>
        <w:t xml:space="preserve"> </w:t>
      </w:r>
      <w:r>
        <w:rPr>
          <w:rFonts w:cs="Arial"/>
        </w:rPr>
        <w:t>is</w:t>
      </w:r>
      <w:r w:rsidRPr="0049441A">
        <w:rPr>
          <w:rFonts w:cs="Arial"/>
        </w:rPr>
        <w:t xml:space="preserve"> competent before assigning new tasks. </w:t>
      </w:r>
    </w:p>
    <w:p w:rsidR="0049441A" w:rsidP="0049441A" w14:paraId="08039010" w14:textId="6621F332">
      <w:pPr>
        <w:pStyle w:val="ListParagraph"/>
        <w:numPr>
          <w:ilvl w:val="1"/>
          <w:numId w:val="25"/>
        </w:numPr>
        <w:pBdr>
          <w:top w:val="nil"/>
          <w:left w:val="nil"/>
          <w:bottom w:val="nil"/>
          <w:right w:val="nil"/>
          <w:between w:val="nil"/>
        </w:pBdr>
        <w:spacing w:before="120" w:after="120" w:line="276" w:lineRule="auto"/>
        <w:contextualSpacing w:val="0"/>
        <w:rPr>
          <w:rFonts w:cs="Arial"/>
          <w:b/>
        </w:rPr>
      </w:pPr>
      <w:r>
        <w:rPr>
          <w:rFonts w:cs="Arial"/>
          <w:b/>
        </w:rPr>
        <w:t>Employees</w:t>
      </w:r>
      <w:r w:rsidRPr="00432E40" w:rsidR="000A2FA4">
        <w:rPr>
          <w:rFonts w:cs="Arial"/>
          <w:b/>
        </w:rPr>
        <w:t xml:space="preserve"> Engaged in Research</w:t>
      </w:r>
    </w:p>
    <w:p w:rsidR="00432E40" w:rsidRPr="0049441A" w:rsidP="0049441A" w14:paraId="72794069" w14:textId="0AD851AD">
      <w:pPr>
        <w:pStyle w:val="ListParagraph"/>
        <w:numPr>
          <w:ilvl w:val="2"/>
          <w:numId w:val="25"/>
        </w:numPr>
        <w:pBdr>
          <w:top w:val="nil"/>
          <w:left w:val="nil"/>
          <w:bottom w:val="nil"/>
          <w:right w:val="nil"/>
          <w:between w:val="nil"/>
        </w:pBdr>
        <w:spacing w:before="120" w:after="120" w:line="276" w:lineRule="auto"/>
        <w:ind w:left="1800"/>
        <w:contextualSpacing w:val="0"/>
        <w:rPr>
          <w:rFonts w:cs="Arial"/>
          <w:b/>
        </w:rPr>
      </w:pPr>
      <w:r>
        <w:rPr>
          <w:rFonts w:cs="Arial"/>
        </w:rPr>
        <w:t>Employees</w:t>
      </w:r>
      <w:r w:rsidRPr="0049441A" w:rsidR="000A2FA4">
        <w:rPr>
          <w:rFonts w:cs="Arial"/>
        </w:rPr>
        <w:t xml:space="preserve"> engaged in research </w:t>
      </w:r>
      <w:r w:rsidRPr="0049441A" w:rsidR="000A2FA4">
        <w:rPr>
          <w:rFonts w:cs="Arial"/>
        </w:rPr>
        <w:t>per</w:t>
      </w:r>
      <w:r w:rsidRPr="0049441A" w:rsidR="000A2FA4">
        <w:rPr>
          <w:rFonts w:cs="Arial"/>
        </w:rPr>
        <w:t xml:space="preserve"> Yale Human Research Protection Program (HRPP) must complete required </w:t>
      </w:r>
      <w:r w:rsidRPr="0049441A" w:rsidR="000A2FA4">
        <w:rPr>
          <w:rFonts w:cs="Arial"/>
        </w:rPr>
        <w:t>trainings</w:t>
      </w:r>
      <w:r w:rsidRPr="0049441A" w:rsidR="000A2FA4">
        <w:rPr>
          <w:rFonts w:cs="Arial"/>
        </w:rPr>
        <w:t xml:space="preserve"> identified within the HRPP Investigator Manual Staff may be required to complete additional training in accordance with protocol specific requirements. </w:t>
      </w:r>
    </w:p>
    <w:p w:rsidR="0049441A" w:rsidP="0049441A" w14:paraId="09C7C197" w14:textId="77777777">
      <w:pPr>
        <w:pStyle w:val="ListParagraph"/>
        <w:numPr>
          <w:ilvl w:val="1"/>
          <w:numId w:val="25"/>
        </w:numPr>
        <w:pBdr>
          <w:top w:val="nil"/>
          <w:left w:val="nil"/>
          <w:bottom w:val="nil"/>
          <w:right w:val="nil"/>
          <w:between w:val="nil"/>
        </w:pBdr>
        <w:spacing w:before="120" w:after="120" w:line="276" w:lineRule="auto"/>
        <w:contextualSpacing w:val="0"/>
        <w:rPr>
          <w:rFonts w:cs="Arial"/>
          <w:b/>
        </w:rPr>
      </w:pPr>
      <w:r w:rsidRPr="00432E40">
        <w:rPr>
          <w:rFonts w:cs="Arial"/>
          <w:b/>
        </w:rPr>
        <w:t>Continuing Training and Education</w:t>
      </w:r>
    </w:p>
    <w:p w:rsidR="0049441A" w:rsidRPr="0049441A" w:rsidP="0049441A" w14:paraId="29E6EB90" w14:textId="779C1217">
      <w:pPr>
        <w:pStyle w:val="ListParagraph"/>
        <w:numPr>
          <w:ilvl w:val="2"/>
          <w:numId w:val="25"/>
        </w:numPr>
        <w:pBdr>
          <w:top w:val="nil"/>
          <w:left w:val="nil"/>
          <w:bottom w:val="nil"/>
          <w:right w:val="nil"/>
          <w:between w:val="nil"/>
        </w:pBdr>
        <w:spacing w:before="120" w:after="120" w:line="276" w:lineRule="auto"/>
        <w:ind w:left="1800"/>
        <w:contextualSpacing w:val="0"/>
        <w:rPr>
          <w:rFonts w:cs="Arial"/>
          <w:b/>
        </w:rPr>
      </w:pPr>
      <w:r>
        <w:rPr>
          <w:rFonts w:cs="Arial"/>
          <w:bCs/>
        </w:rPr>
        <w:t>Manager</w:t>
      </w:r>
      <w:r w:rsidRPr="0049441A" w:rsidR="00B419DA">
        <w:rPr>
          <w:rFonts w:cs="Arial"/>
          <w:bCs/>
        </w:rPr>
        <w:t xml:space="preserve"> determines training requirements for </w:t>
      </w:r>
      <w:r w:rsidR="00DA04BF">
        <w:rPr>
          <w:rFonts w:cs="Arial"/>
          <w:bCs/>
        </w:rPr>
        <w:t>employee</w:t>
      </w:r>
      <w:r w:rsidRPr="0049441A" w:rsidR="00B419DA">
        <w:rPr>
          <w:rFonts w:cs="Arial"/>
          <w:bCs/>
        </w:rPr>
        <w:t xml:space="preserve"> reassess</w:t>
      </w:r>
      <w:r w:rsidR="00DA04BF">
        <w:rPr>
          <w:rFonts w:cs="Arial"/>
          <w:bCs/>
        </w:rPr>
        <w:t>es</w:t>
      </w:r>
      <w:r w:rsidRPr="0049441A" w:rsidR="00B419DA">
        <w:rPr>
          <w:rFonts w:cs="Arial"/>
          <w:bCs/>
        </w:rPr>
        <w:t xml:space="preserve"> on a regular basis (based on evaluations, regulatory changes, operational requirements, feedback from Sponsors, </w:t>
      </w:r>
      <w:r w:rsidR="00DA04BF">
        <w:rPr>
          <w:rFonts w:cs="Arial"/>
          <w:bCs/>
        </w:rPr>
        <w:t>employees</w:t>
      </w:r>
      <w:r w:rsidRPr="0049441A" w:rsidR="00B419DA">
        <w:rPr>
          <w:rFonts w:cs="Arial"/>
          <w:bCs/>
        </w:rPr>
        <w:t xml:space="preserve">, auditors and regulatory inspections). </w:t>
      </w:r>
    </w:p>
    <w:p w:rsidR="00432E40" w:rsidRPr="00052EC6" w:rsidP="0049441A" w14:paraId="2BE3D9E3" w14:textId="235E61E3">
      <w:pPr>
        <w:pStyle w:val="ListParagraph"/>
        <w:numPr>
          <w:ilvl w:val="1"/>
          <w:numId w:val="25"/>
        </w:numPr>
        <w:pBdr>
          <w:top w:val="nil"/>
          <w:left w:val="nil"/>
          <w:bottom w:val="nil"/>
          <w:right w:val="nil"/>
          <w:between w:val="nil"/>
        </w:pBdr>
        <w:spacing w:before="120" w:after="120" w:line="276" w:lineRule="auto"/>
        <w:contextualSpacing w:val="0"/>
        <w:rPr>
          <w:rFonts w:cs="Arial"/>
          <w:b/>
          <w:color w:val="000000"/>
        </w:rPr>
      </w:pPr>
      <w:r w:rsidRPr="00891F93">
        <w:rPr>
          <w:rFonts w:cs="Arial"/>
          <w:b/>
        </w:rPr>
        <w:t>Training</w:t>
      </w:r>
    </w:p>
    <w:p w:rsidR="004F445E" w:rsidRPr="00052EC6" w:rsidP="00052EC6" w14:paraId="39B49BD6" w14:textId="613C0DCA">
      <w:pPr>
        <w:pBdr>
          <w:top w:val="nil"/>
          <w:left w:val="nil"/>
          <w:bottom w:val="nil"/>
          <w:right w:val="nil"/>
          <w:between w:val="nil"/>
        </w:pBdr>
        <w:spacing w:line="276" w:lineRule="auto"/>
        <w:ind w:left="1080"/>
        <w:rPr>
          <w:rFonts w:ascii="Arial" w:hAnsi="Arial" w:cs="Arial"/>
          <w:i/>
          <w:sz w:val="20"/>
          <w:shd w:val="clear" w:color="auto" w:fill="E1F4FF"/>
        </w:rPr>
      </w:pPr>
      <w:r w:rsidRPr="00432E40">
        <w:rPr>
          <w:rFonts w:ascii="Arial" w:hAnsi="Arial" w:cs="Arial"/>
          <w:sz w:val="20"/>
        </w:rPr>
        <w:t>All responsible personnel listed within this SOP will receive training</w:t>
      </w:r>
      <w:r w:rsidR="0011770A">
        <w:rPr>
          <w:rFonts w:ascii="Arial" w:hAnsi="Arial" w:cs="Arial"/>
          <w:sz w:val="20"/>
        </w:rPr>
        <w:t xml:space="preserve"> </w:t>
      </w:r>
      <w:r w:rsidR="0011770A">
        <w:rPr>
          <w:rFonts w:ascii="Arial" w:hAnsi="Arial" w:cs="Arial"/>
          <w:sz w:val="20"/>
        </w:rPr>
        <w:t>on</w:t>
      </w:r>
      <w:r w:rsidR="0011770A">
        <w:rPr>
          <w:rFonts w:ascii="Arial" w:hAnsi="Arial" w:cs="Arial"/>
          <w:sz w:val="20"/>
        </w:rPr>
        <w:t xml:space="preserve"> this procedure</w:t>
      </w:r>
      <w:r w:rsidRPr="00432E40">
        <w:rPr>
          <w:rFonts w:ascii="Arial" w:hAnsi="Arial" w:cs="Arial"/>
          <w:sz w:val="20"/>
        </w:rPr>
        <w:t xml:space="preserve"> appropriate to their role and level of responsibility.</w:t>
      </w:r>
    </w:p>
    <w:p w:rsidR="007D72D8" w:rsidRPr="0053497E" w:rsidP="007D72D8" w14:paraId="701CFBC4" w14:textId="6F46042B">
      <w:pPr>
        <w:pStyle w:val="SectionHeading"/>
        <w:numPr>
          <w:ilvl w:val="0"/>
          <w:numId w:val="32"/>
        </w:numPr>
        <w:spacing w:before="240" w:after="240"/>
        <w:ind w:left="720" w:hanging="810"/>
        <w:rPr>
          <w:color w:val="365F91" w:themeColor="accent1" w:themeShade="BF"/>
          <w:sz w:val="28"/>
          <w:szCs w:val="28"/>
        </w:rPr>
      </w:pPr>
      <w:r w:rsidRPr="0053497E">
        <w:rPr>
          <w:color w:val="365F91" w:themeColor="accent1" w:themeShade="BF"/>
          <w:sz w:val="28"/>
          <w:szCs w:val="28"/>
        </w:rPr>
        <w:t>Roles and Responsibilities</w:t>
      </w:r>
    </w:p>
    <w:p w:rsidR="007D72D8" w:rsidP="007D72D8" w14:paraId="22F36E90" w14:textId="77777777">
      <w:pPr>
        <w:pStyle w:val="BodyText"/>
        <w:numPr>
          <w:ilvl w:val="0"/>
          <w:numId w:val="28"/>
        </w:numPr>
        <w:spacing w:before="240" w:after="120" w:line="276" w:lineRule="auto"/>
        <w:ind w:left="1080"/>
        <w:contextualSpacing/>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Yale policies and applicable governing regulations.</w:t>
      </w:r>
      <w:r w:rsidRPr="00267874">
        <w:rPr>
          <w:rFonts w:cs="Arial"/>
        </w:rPr>
        <w:t xml:space="preserve"> </w:t>
      </w:r>
    </w:p>
    <w:p w:rsidR="007D72D8" w:rsidP="007D72D8" w14:paraId="6FE55490" w14:textId="77777777">
      <w:pPr>
        <w:pStyle w:val="BodyText"/>
        <w:spacing w:line="276" w:lineRule="auto"/>
        <w:ind w:left="1080"/>
        <w:jc w:val="both"/>
        <w:rPr>
          <w:rFonts w:cs="Arial"/>
        </w:rPr>
      </w:pPr>
    </w:p>
    <w:p w:rsidR="007D72D8" w:rsidP="007D72D8" w14:paraId="4BEA18BD" w14:textId="77777777">
      <w:pPr>
        <w:pStyle w:val="BodyText"/>
        <w:spacing w:line="276" w:lineRule="auto"/>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w:t>
      </w:r>
      <w:r>
        <w:rPr>
          <w:rFonts w:cs="Arial"/>
        </w:rPr>
        <w:t>ensuring</w:t>
      </w:r>
      <w:r>
        <w:rPr>
          <w:rFonts w:cs="Arial"/>
        </w:rPr>
        <w:t xml:space="preserve"> appropriately experienced and trained staff are delegated.</w:t>
      </w:r>
    </w:p>
    <w:p w:rsidR="007D72D8" w:rsidP="007D72D8" w14:paraId="6EC3F162" w14:textId="77777777">
      <w:pPr>
        <w:pStyle w:val="BodyText"/>
        <w:spacing w:line="276" w:lineRule="auto"/>
        <w:ind w:left="720"/>
        <w:jc w:val="both"/>
        <w:rPr>
          <w:rFonts w:cs="Arial"/>
        </w:rPr>
      </w:pPr>
    </w:p>
    <w:p w:rsidR="007D72D8" w:rsidP="007D72D8" w14:paraId="6E103DED" w14:textId="77777777">
      <w:pPr>
        <w:pStyle w:val="BodyText"/>
        <w:numPr>
          <w:ilvl w:val="0"/>
          <w:numId w:val="28"/>
        </w:numPr>
        <w:spacing w:before="240" w:after="120" w:line="276" w:lineRule="auto"/>
        <w:ind w:left="1080"/>
        <w:contextualSpacing/>
        <w:jc w:val="both"/>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w:t>
      </w:r>
      <w:r w:rsidRPr="00491760">
        <w:rPr>
          <w:rFonts w:cs="Arial"/>
        </w:rPr>
        <w:t xml:space="preserve"> conduct study-related duties as authorized by the Principal Investigator in accordance with GCP</w:t>
      </w:r>
      <w:r>
        <w:rPr>
          <w:rFonts w:cs="Arial"/>
        </w:rPr>
        <w:t>,</w:t>
      </w:r>
      <w:r w:rsidRPr="00491760">
        <w:rPr>
          <w:rFonts w:cs="Arial"/>
        </w:rPr>
        <w:t xml:space="preserve"> </w:t>
      </w:r>
      <w:r>
        <w:rPr>
          <w:rFonts w:cs="Arial"/>
        </w:rPr>
        <w:t>Yale policies, and applicable governing regulations</w:t>
      </w:r>
      <w:r w:rsidRPr="00491760">
        <w:rPr>
          <w:rFonts w:cs="Arial"/>
        </w:rPr>
        <w:t>.</w:t>
      </w:r>
      <w:r>
        <w:rPr>
          <w:rFonts w:cs="Arial"/>
        </w:rPr>
        <w:t xml:space="preserve"> </w:t>
      </w:r>
    </w:p>
    <w:p w:rsidR="007D72D8" w:rsidP="007D72D8" w14:paraId="00249AB9" w14:textId="77777777">
      <w:pPr>
        <w:pStyle w:val="BodyText"/>
        <w:spacing w:line="276" w:lineRule="auto"/>
        <w:ind w:left="1080"/>
        <w:jc w:val="both"/>
        <w:rPr>
          <w:rFonts w:cs="Arial"/>
        </w:rPr>
      </w:pPr>
    </w:p>
    <w:p w:rsidR="007D72D8" w:rsidRPr="000A506D" w:rsidP="007D72D8" w14:paraId="175054CC" w14:textId="77777777">
      <w:pPr>
        <w:pStyle w:val="BodyText"/>
        <w:numPr>
          <w:ilvl w:val="0"/>
          <w:numId w:val="28"/>
        </w:numPr>
        <w:spacing w:before="240" w:after="120" w:line="276" w:lineRule="auto"/>
        <w:ind w:left="1080"/>
        <w:contextualSpacing/>
        <w:jc w:val="both"/>
        <w:rPr>
          <w:rFonts w:cs="Arial"/>
        </w:rPr>
      </w:pPr>
      <w:r>
        <w:rPr>
          <w:rFonts w:cs="Arial"/>
        </w:rPr>
        <w:t>The following study personnel may be delegated study tasks with documentation of appropriate training and experience:</w:t>
      </w:r>
    </w:p>
    <w:p w:rsidR="002E340E" w:rsidRPr="00432E40" w:rsidP="002E340E" w14:paraId="6FEE131E"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Administrative and Support Staff</w:t>
      </w:r>
    </w:p>
    <w:p w:rsidR="002E340E" w:rsidRPr="00432E40" w:rsidP="002E340E" w14:paraId="1B604A01"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Application Analyst</w:t>
      </w:r>
    </w:p>
    <w:p w:rsidR="002E340E" w:rsidRPr="00432E40" w:rsidP="002E340E" w14:paraId="5803D59D"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Associate Director</w:t>
      </w:r>
    </w:p>
    <w:p w:rsidR="002E340E" w:rsidRPr="00432E40" w:rsidP="002E340E" w14:paraId="2626CC4B" w14:textId="77777777">
      <w:pPr>
        <w:pStyle w:val="ListParagraph"/>
        <w:numPr>
          <w:ilvl w:val="0"/>
          <w:numId w:val="28"/>
        </w:numPr>
        <w:pBdr>
          <w:top w:val="nil"/>
          <w:left w:val="nil"/>
          <w:bottom w:val="nil"/>
          <w:right w:val="nil"/>
          <w:between w:val="nil"/>
        </w:pBdr>
        <w:spacing w:line="276" w:lineRule="auto"/>
        <w:rPr>
          <w:rFonts w:cs="Arial"/>
        </w:rPr>
      </w:pPr>
      <w:r w:rsidRPr="16EF57A9" w:rsidR="16EF57A9">
        <w:rPr>
          <w:rFonts w:cs="Arial"/>
        </w:rPr>
        <w:t>Assistant Director</w:t>
      </w:r>
    </w:p>
    <w:p w:rsidR="002E340E" w:rsidRPr="00432E40" w:rsidP="002E340E" w14:paraId="72759128"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Clinic Staff</w:t>
      </w:r>
    </w:p>
    <w:p w:rsidR="002E340E" w:rsidRPr="00432E40" w:rsidP="002E340E" w14:paraId="234EA6DE"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Clinical Research Associate</w:t>
      </w:r>
    </w:p>
    <w:p w:rsidR="002E340E" w:rsidRPr="00432E40" w:rsidP="002E340E" w14:paraId="1B644587"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Clinical Research Coordinator</w:t>
      </w:r>
    </w:p>
    <w:p w:rsidR="002E340E" w:rsidRPr="00432E40" w:rsidP="002E340E" w14:paraId="70CC0C54"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Clinical Research Manager</w:t>
      </w:r>
    </w:p>
    <w:p w:rsidR="002E340E" w:rsidRPr="00432E40" w:rsidP="002E340E" w14:paraId="5F01ECDF"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Clinical Research Nurse</w:t>
      </w:r>
    </w:p>
    <w:p w:rsidR="002E340E" w:rsidRPr="00432E40" w:rsidP="002E340E" w14:paraId="67E918AD"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Clinical Research Nurse Manager</w:t>
      </w:r>
    </w:p>
    <w:p w:rsidR="002E340E" w:rsidRPr="00432E40" w:rsidP="002E340E" w14:paraId="746493BD"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Committee Analyst</w:t>
      </w:r>
    </w:p>
    <w:p w:rsidR="002E340E" w:rsidRPr="00432E40" w:rsidP="002E340E" w14:paraId="5184B345"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Data Management Personnel</w:t>
      </w:r>
    </w:p>
    <w:p w:rsidR="002E340E" w:rsidRPr="00432E40" w:rsidP="002E340E" w14:paraId="6ADE3069"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Financial Analyst</w:t>
      </w:r>
    </w:p>
    <w:p w:rsidR="002E340E" w:rsidRPr="00432E40" w:rsidP="002E340E" w14:paraId="68F41DE2"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Laboratory Assistant</w:t>
      </w:r>
    </w:p>
    <w:p w:rsidR="00733801" w:rsidRPr="00432E40" w:rsidP="002E340E" w14:paraId="2590E3B5" w14:textId="277E1274">
      <w:pPr>
        <w:pStyle w:val="ListParagraph"/>
        <w:numPr>
          <w:ilvl w:val="0"/>
          <w:numId w:val="28"/>
        </w:numPr>
        <w:pBdr>
          <w:top w:val="nil"/>
          <w:left w:val="nil"/>
          <w:bottom w:val="nil"/>
          <w:right w:val="nil"/>
          <w:between w:val="nil"/>
        </w:pBdr>
        <w:spacing w:line="276" w:lineRule="auto"/>
        <w:rPr>
          <w:rFonts w:cs="Arial"/>
        </w:rPr>
      </w:pPr>
      <w:r>
        <w:rPr>
          <w:rFonts w:cs="Arial"/>
        </w:rPr>
        <w:t>Nurse Clinical Research Coordinator</w:t>
      </w:r>
    </w:p>
    <w:p w:rsidR="002E340E" w:rsidRPr="00432E40" w:rsidP="002E340E" w14:paraId="782B5D1C"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Operations Manager</w:t>
      </w:r>
    </w:p>
    <w:p w:rsidR="002E340E" w:rsidRPr="00432E40" w:rsidP="16EF57A9" w14:paraId="329FFE99" w14:textId="14394916">
      <w:pPr>
        <w:pStyle w:val="ListParagraph"/>
        <w:numPr>
          <w:ilvl w:val="0"/>
          <w:numId w:val="28"/>
        </w:numPr>
        <w:pBdr>
          <w:top w:val="nil"/>
          <w:left w:val="nil"/>
          <w:bottom w:val="nil"/>
          <w:right w:val="nil"/>
          <w:between w:val="nil"/>
        </w:pBdr>
        <w:spacing w:line="276" w:lineRule="auto"/>
        <w:rPr>
          <w:rFonts w:cs="Arial"/>
        </w:rPr>
      </w:pPr>
      <w:r w:rsidRPr="16EF57A9" w:rsidR="16EF57A9">
        <w:rPr>
          <w:rFonts w:cs="Arial"/>
        </w:rPr>
        <w:t>Program Coordinator</w:t>
      </w:r>
    </w:p>
    <w:p w:rsidR="002E340E" w:rsidRPr="00432E40" w:rsidP="16EF57A9" w14:paraId="3EF6FE23" w14:textId="7918542D">
      <w:pPr>
        <w:pStyle w:val="ListParagraph"/>
        <w:numPr>
          <w:ilvl w:val="0"/>
          <w:numId w:val="28"/>
        </w:numPr>
        <w:pBdr>
          <w:top w:val="nil"/>
          <w:left w:val="nil"/>
          <w:bottom w:val="nil"/>
          <w:right w:val="nil"/>
          <w:between w:val="nil"/>
        </w:pBdr>
        <w:spacing w:line="276" w:lineRule="auto"/>
        <w:rPr>
          <w:rFonts w:cs="Arial"/>
        </w:rPr>
      </w:pPr>
      <w:r w:rsidRPr="16EF57A9" w:rsidR="16EF57A9">
        <w:rPr>
          <w:rFonts w:cs="Arial"/>
        </w:rPr>
        <w:t>Project Manager</w:t>
      </w:r>
    </w:p>
    <w:p w:rsidR="002E340E" w:rsidRPr="00432E40" w:rsidP="002E340E" w14:paraId="12B0F559"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Quality Assurance Specialist</w:t>
      </w:r>
    </w:p>
    <w:p w:rsidR="002E340E" w:rsidRPr="00432E40" w:rsidP="002E340E" w14:paraId="29C11899"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Regulatory Personnel</w:t>
      </w:r>
    </w:p>
    <w:p w:rsidR="002E340E" w:rsidRPr="00432E40" w:rsidP="002E340E" w14:paraId="6FD96113"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Research Assistant</w:t>
      </w:r>
    </w:p>
    <w:p w:rsidR="002E340E" w:rsidRPr="00432E40" w:rsidP="002E340E" w14:paraId="016DF84A"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 xml:space="preserve">Research Associate </w:t>
      </w:r>
    </w:p>
    <w:p w:rsidR="002E340E" w:rsidRPr="00432E40" w:rsidP="002E340E" w14:paraId="72DACF06"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Research Billing Compliance Analyst</w:t>
      </w:r>
    </w:p>
    <w:p w:rsidR="002E340E" w:rsidRPr="00432E40" w:rsidP="002E340E" w14:paraId="4F451676"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Research Charge Analyst</w:t>
      </w:r>
    </w:p>
    <w:p w:rsidR="002E340E" w:rsidRPr="00432E40" w:rsidP="002E340E" w14:paraId="287B86DC"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Research Recruitment Coordinator</w:t>
      </w:r>
    </w:p>
    <w:p w:rsidR="002E340E" w:rsidRPr="00432E40" w:rsidP="002E340E" w14:paraId="25F15F2B" w14:textId="77777777">
      <w:pPr>
        <w:pStyle w:val="ListParagraph"/>
        <w:numPr>
          <w:ilvl w:val="0"/>
          <w:numId w:val="28"/>
        </w:numPr>
        <w:pBdr>
          <w:top w:val="nil"/>
          <w:left w:val="nil"/>
          <w:bottom w:val="nil"/>
          <w:right w:val="nil"/>
          <w:between w:val="nil"/>
        </w:pBdr>
        <w:spacing w:line="276" w:lineRule="auto"/>
        <w:rPr>
          <w:rFonts w:cs="Arial"/>
        </w:rPr>
      </w:pPr>
      <w:r w:rsidRPr="00432E40">
        <w:rPr>
          <w:rFonts w:cs="Arial"/>
        </w:rPr>
        <w:t>Systems and Data Coordinator</w:t>
      </w:r>
    </w:p>
    <w:p w:rsidR="002E340E" w:rsidRPr="008A675D" w:rsidP="002E340E" w14:paraId="37DCC5C5" w14:textId="77777777">
      <w:pPr>
        <w:pStyle w:val="ListParagraph"/>
        <w:numPr>
          <w:ilvl w:val="0"/>
          <w:numId w:val="28"/>
        </w:numPr>
        <w:pBdr>
          <w:top w:val="nil"/>
          <w:left w:val="nil"/>
          <w:bottom w:val="nil"/>
          <w:right w:val="nil"/>
          <w:between w:val="nil"/>
        </w:pBdr>
        <w:spacing w:line="276" w:lineRule="auto"/>
        <w:rPr>
          <w:rFonts w:cs="Arial"/>
          <w:i/>
          <w:shd w:val="clear" w:color="auto" w:fill="E1F4FF"/>
        </w:rPr>
      </w:pPr>
      <w:r w:rsidRPr="00432E40">
        <w:rPr>
          <w:rFonts w:cs="Arial"/>
        </w:rPr>
        <w:t>Other YCCI Staff</w:t>
      </w:r>
    </w:p>
    <w:p w:rsidR="007D72D8" w:rsidRPr="0053497E" w:rsidP="007D72D8" w14:paraId="764EF983" w14:textId="2CACC38D">
      <w:pPr>
        <w:pStyle w:val="SectionHeading"/>
        <w:numPr>
          <w:ilvl w:val="0"/>
          <w:numId w:val="34"/>
        </w:numPr>
        <w:spacing w:before="240" w:after="240"/>
        <w:ind w:left="720" w:hanging="720"/>
        <w:contextualSpacing w:val="0"/>
        <w:rPr>
          <w:color w:val="365F91" w:themeColor="accent1" w:themeShade="BF"/>
          <w:sz w:val="28"/>
          <w:szCs w:val="28"/>
        </w:rPr>
      </w:pPr>
      <w:r w:rsidRPr="0053497E">
        <w:rPr>
          <w:color w:val="365F91" w:themeColor="accent1" w:themeShade="BF"/>
          <w:sz w:val="28"/>
          <w:szCs w:val="28"/>
        </w:rPr>
        <w:t xml:space="preserve">Contact Information </w:t>
      </w:r>
    </w:p>
    <w:p w:rsidR="007D72D8" w:rsidP="0053497E" w14:paraId="4EC6FF6A" w14:textId="77777777">
      <w:pPr>
        <w:pStyle w:val="BodyText"/>
        <w:spacing w:after="240" w:line="276" w:lineRule="auto"/>
        <w:ind w:left="720"/>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7D72D8" w:rsidRPr="0053497E" w:rsidP="007D72D8" w14:paraId="434163D8" w14:textId="5977CFAA">
      <w:pPr>
        <w:pStyle w:val="SectionHeading"/>
        <w:numPr>
          <w:ilvl w:val="0"/>
          <w:numId w:val="35"/>
        </w:numPr>
        <w:ind w:left="720" w:hanging="720"/>
        <w:contextualSpacing w:val="0"/>
        <w:rPr>
          <w:color w:val="365F91" w:themeColor="accent1" w:themeShade="BF"/>
          <w:sz w:val="28"/>
          <w:szCs w:val="28"/>
        </w:rPr>
      </w:pPr>
      <w:r w:rsidRPr="0053497E">
        <w:rPr>
          <w:color w:val="365F91" w:themeColor="accent1" w:themeShade="BF"/>
          <w:sz w:val="28"/>
          <w:szCs w:val="28"/>
        </w:rPr>
        <w:t>Related Information</w:t>
      </w:r>
    </w:p>
    <w:p w:rsidR="00607DD7" w:rsidP="00607DD7" w14:paraId="1F10E1FE" w14:textId="428BA3B2">
      <w:pPr>
        <w:pStyle w:val="SectionHeading"/>
        <w:spacing w:before="240" w:line="276" w:lineRule="auto"/>
        <w:ind w:left="720"/>
        <w:contextualSpacing w:val="0"/>
        <w:rPr>
          <w:b w:val="0"/>
          <w:bCs/>
          <w:sz w:val="20"/>
          <w:szCs w:val="16"/>
        </w:rPr>
      </w:pPr>
      <w:r>
        <w:rPr>
          <w:b w:val="0"/>
          <w:bCs/>
          <w:sz w:val="20"/>
          <w:szCs w:val="16"/>
        </w:rPr>
        <w:t>This section identifies applicable regulations, guidance, and policies related to this procedure.</w:t>
      </w:r>
    </w:p>
    <w:p w:rsidR="007D72D8" w:rsidRPr="00607DD7" w:rsidP="00607DD7" w14:paraId="1C7E2CD0" w14:textId="4C73E341">
      <w:pPr>
        <w:pStyle w:val="SectionHeading"/>
        <w:spacing w:before="240" w:line="276" w:lineRule="auto"/>
        <w:ind w:left="720"/>
        <w:contextualSpacing w:val="0"/>
        <w:rPr>
          <w:b w:val="0"/>
          <w:bCs/>
          <w:sz w:val="20"/>
          <w:szCs w:val="16"/>
        </w:rPr>
      </w:pPr>
      <w:r w:rsidRPr="00607DD7">
        <w:rPr>
          <w:sz w:val="20"/>
          <w:szCs w:val="16"/>
        </w:rPr>
        <w:t>7.1</w:t>
      </w:r>
      <w:r>
        <w:rPr>
          <w:b w:val="0"/>
          <w:bCs/>
          <w:sz w:val="20"/>
          <w:szCs w:val="16"/>
        </w:rPr>
        <w:t xml:space="preserve"> </w:t>
      </w:r>
      <w:r w:rsidRPr="00432E40">
        <w:rPr>
          <w:rFonts w:cs="Arial"/>
          <w:sz w:val="20"/>
        </w:rPr>
        <w:t xml:space="preserve">FDA Code of Federal Regulations </w:t>
      </w:r>
    </w:p>
    <w:p w:rsidR="007D72D8" w:rsidRPr="00E049C9" w:rsidP="00E049C9" w14:paraId="2F89DD10" w14:textId="77777777">
      <w:pPr>
        <w:pStyle w:val="ListParagraph"/>
        <w:numPr>
          <w:ilvl w:val="1"/>
          <w:numId w:val="39"/>
        </w:numPr>
        <w:pBdr>
          <w:top w:val="nil"/>
          <w:left w:val="nil"/>
          <w:bottom w:val="nil"/>
          <w:right w:val="nil"/>
          <w:between w:val="nil"/>
        </w:pBdr>
        <w:spacing w:line="276" w:lineRule="auto"/>
        <w:rPr>
          <w:rFonts w:cs="Arial"/>
        </w:rPr>
      </w:pPr>
      <w:r w:rsidRPr="00E049C9">
        <w:rPr>
          <w:rFonts w:cs="Arial"/>
        </w:rPr>
        <w:t xml:space="preserve">21 CFR § 312.60 — General responsibilities of investigators </w:t>
      </w:r>
    </w:p>
    <w:p w:rsidR="007D72D8" w:rsidRPr="00E049C9" w:rsidP="00E049C9" w14:paraId="56F27CD0" w14:textId="77777777">
      <w:pPr>
        <w:pStyle w:val="ListParagraph"/>
        <w:numPr>
          <w:ilvl w:val="1"/>
          <w:numId w:val="39"/>
        </w:numPr>
        <w:pBdr>
          <w:top w:val="nil"/>
          <w:left w:val="nil"/>
          <w:bottom w:val="nil"/>
          <w:right w:val="nil"/>
          <w:between w:val="nil"/>
        </w:pBdr>
        <w:spacing w:line="276" w:lineRule="auto"/>
        <w:rPr>
          <w:rFonts w:cs="Arial"/>
        </w:rPr>
      </w:pPr>
      <w:r w:rsidRPr="00E049C9">
        <w:rPr>
          <w:rFonts w:cs="Arial"/>
        </w:rPr>
        <w:t xml:space="preserve">21 CFR § 812.100 — General responsibilities of investigators </w:t>
      </w:r>
    </w:p>
    <w:p w:rsidR="007D72D8" w:rsidRPr="00E049C9" w:rsidP="00E049C9" w14:paraId="2FAB14C6" w14:textId="77777777">
      <w:pPr>
        <w:pStyle w:val="ListParagraph"/>
        <w:numPr>
          <w:ilvl w:val="1"/>
          <w:numId w:val="39"/>
        </w:numPr>
        <w:pBdr>
          <w:top w:val="nil"/>
          <w:left w:val="nil"/>
          <w:bottom w:val="nil"/>
          <w:right w:val="nil"/>
          <w:between w:val="nil"/>
        </w:pBdr>
        <w:spacing w:line="276" w:lineRule="auto"/>
        <w:rPr>
          <w:rFonts w:cs="Arial"/>
        </w:rPr>
      </w:pPr>
      <w:r w:rsidRPr="00E049C9">
        <w:rPr>
          <w:rFonts w:cs="Arial"/>
        </w:rPr>
        <w:t xml:space="preserve">21 CFR § 812.110 — Specific responsibilities of investigators </w:t>
      </w:r>
    </w:p>
    <w:p w:rsidR="007D72D8" w:rsidRPr="00251FCA" w:rsidP="00251FCA" w14:paraId="7037DED2" w14:textId="64879F3A">
      <w:pPr>
        <w:pStyle w:val="ListParagraph"/>
        <w:numPr>
          <w:ilvl w:val="1"/>
          <w:numId w:val="39"/>
        </w:numPr>
        <w:pBdr>
          <w:top w:val="nil"/>
          <w:left w:val="nil"/>
          <w:bottom w:val="nil"/>
          <w:right w:val="nil"/>
          <w:between w:val="nil"/>
        </w:pBdr>
        <w:spacing w:line="276" w:lineRule="auto"/>
        <w:rPr>
          <w:rFonts w:cs="Arial"/>
        </w:rPr>
      </w:pPr>
      <w:r w:rsidRPr="00E049C9">
        <w:rPr>
          <w:rFonts w:cs="Arial"/>
        </w:rPr>
        <w:t xml:space="preserve">45 CFR § 46 — Protection of Human Subjects </w:t>
      </w:r>
    </w:p>
    <w:p w:rsidR="007D72D8" w:rsidRPr="00607DD7" w:rsidP="00251FCA" w14:paraId="2A6C23BD" w14:textId="150F2C1C">
      <w:pPr>
        <w:pBdr>
          <w:top w:val="nil"/>
          <w:left w:val="nil"/>
          <w:bottom w:val="nil"/>
          <w:right w:val="nil"/>
          <w:between w:val="nil"/>
        </w:pBdr>
        <w:spacing w:before="120" w:after="120" w:line="276" w:lineRule="auto"/>
        <w:ind w:left="720"/>
        <w:rPr>
          <w:rFonts w:ascii="Arial" w:hAnsi="Arial" w:cs="Arial"/>
          <w:b/>
          <w:bCs/>
          <w:sz w:val="20"/>
        </w:rPr>
      </w:pPr>
      <w:r w:rsidRPr="00607DD7">
        <w:rPr>
          <w:rFonts w:ascii="Arial" w:hAnsi="Arial" w:cs="Arial"/>
          <w:b/>
          <w:bCs/>
          <w:sz w:val="20"/>
        </w:rPr>
        <w:t xml:space="preserve">7.2 </w:t>
      </w:r>
      <w:r w:rsidR="00251FCA">
        <w:rPr>
          <w:rFonts w:ascii="Arial" w:hAnsi="Arial" w:cs="Arial"/>
          <w:b/>
          <w:bCs/>
          <w:sz w:val="20"/>
        </w:rPr>
        <w:t>Good Clinical Practice</w:t>
      </w:r>
    </w:p>
    <w:p w:rsidR="007D72D8" w:rsidRPr="00251FCA" w:rsidP="00251FCA" w14:paraId="54815805" w14:textId="61245643">
      <w:pPr>
        <w:pStyle w:val="ListParagraph"/>
        <w:numPr>
          <w:ilvl w:val="0"/>
          <w:numId w:val="40"/>
        </w:numPr>
        <w:pBdr>
          <w:top w:val="nil"/>
          <w:left w:val="nil"/>
          <w:bottom w:val="nil"/>
          <w:right w:val="nil"/>
          <w:between w:val="nil"/>
        </w:pBdr>
        <w:spacing w:line="276" w:lineRule="auto"/>
        <w:ind w:left="1440"/>
        <w:rPr>
          <w:rFonts w:cs="Arial"/>
        </w:rPr>
      </w:pPr>
      <w:hyperlink r:id="rId19" w:history="1">
        <w:r>
          <w:rPr>
            <w:rStyle w:val="Hyperlink"/>
            <w:rFonts w:cs="Arial"/>
          </w:rPr>
          <w:t>Essential Documents for the Conduct of a Clinical Trial</w:t>
        </w:r>
      </w:hyperlink>
      <w:r w:rsidRPr="00E049C9" w:rsidR="00BD3080">
        <w:rPr>
          <w:rFonts w:cs="Arial"/>
        </w:rPr>
        <w:t xml:space="preserve"> </w:t>
      </w:r>
    </w:p>
    <w:p w:rsidR="002D59F6" w:rsidRPr="002D59F6" w:rsidP="00251FCA" w14:paraId="563E51EA" w14:textId="751D5874">
      <w:pPr>
        <w:pStyle w:val="ListParagraph"/>
        <w:numPr>
          <w:ilvl w:val="1"/>
          <w:numId w:val="42"/>
        </w:numPr>
        <w:pBdr>
          <w:top w:val="nil"/>
          <w:left w:val="nil"/>
          <w:bottom w:val="nil"/>
          <w:right w:val="nil"/>
          <w:between w:val="nil"/>
        </w:pBdr>
        <w:spacing w:before="120" w:after="120" w:line="276" w:lineRule="auto"/>
        <w:ind w:left="1080"/>
        <w:contextualSpacing w:val="0"/>
        <w:rPr>
          <w:rFonts w:cs="Arial"/>
          <w:b/>
          <w:bCs/>
        </w:rPr>
      </w:pPr>
      <w:r w:rsidRPr="002D59F6">
        <w:rPr>
          <w:rFonts w:cs="Arial"/>
          <w:b/>
          <w:bCs/>
        </w:rPr>
        <w:t xml:space="preserve">Additional Regulations, </w:t>
      </w:r>
      <w:r w:rsidRPr="002D59F6">
        <w:rPr>
          <w:rFonts w:cs="Arial"/>
          <w:b/>
          <w:bCs/>
        </w:rPr>
        <w:t>Guidances</w:t>
      </w:r>
      <w:r w:rsidRPr="002D59F6">
        <w:rPr>
          <w:rFonts w:cs="Arial"/>
          <w:b/>
          <w:bCs/>
        </w:rPr>
        <w:t xml:space="preserve"> and Policies</w:t>
      </w:r>
    </w:p>
    <w:p w:rsidR="002D59F6" w:rsidRPr="002D59F6" w:rsidP="00251FCA" w14:paraId="623D304C" w14:textId="77777777">
      <w:pPr>
        <w:pStyle w:val="ListParagraph"/>
        <w:numPr>
          <w:ilvl w:val="0"/>
          <w:numId w:val="40"/>
        </w:numPr>
        <w:pBdr>
          <w:top w:val="nil"/>
          <w:left w:val="nil"/>
          <w:bottom w:val="nil"/>
          <w:right w:val="nil"/>
          <w:between w:val="nil"/>
        </w:pBdr>
        <w:spacing w:line="276" w:lineRule="auto"/>
        <w:ind w:left="1440"/>
        <w:rPr>
          <w:rStyle w:val="Hyperlink"/>
          <w:rFonts w:cs="Arial"/>
          <w:b/>
          <w:bCs/>
          <w:color w:val="auto"/>
          <w:u w:val="none"/>
        </w:rPr>
      </w:pPr>
      <w:hyperlink r:id="rId20" w:history="1">
        <w:r w:rsidRPr="002D59F6">
          <w:rPr>
            <w:rStyle w:val="Hyperlink"/>
            <w:rFonts w:cs="Arial"/>
          </w:rPr>
          <w:t>Yale Human Research Protection Program's Investigator Manual</w:t>
        </w:r>
      </w:hyperlink>
      <w:r w:rsidRPr="002D59F6" w:rsidR="007D72D8">
        <w:rPr>
          <w:rStyle w:val="Hyperlink"/>
          <w:rFonts w:cs="Arial"/>
        </w:rPr>
        <w:t xml:space="preserve"> </w:t>
      </w:r>
    </w:p>
    <w:p w:rsidR="007D72D8" w:rsidRPr="002D59F6" w:rsidP="00251FCA" w14:paraId="22532478" w14:textId="3AFBA030">
      <w:pPr>
        <w:pStyle w:val="ListParagraph"/>
        <w:numPr>
          <w:ilvl w:val="0"/>
          <w:numId w:val="40"/>
        </w:numPr>
        <w:pBdr>
          <w:top w:val="nil"/>
          <w:left w:val="nil"/>
          <w:bottom w:val="nil"/>
          <w:right w:val="nil"/>
          <w:between w:val="nil"/>
        </w:pBdr>
        <w:spacing w:line="276" w:lineRule="auto"/>
        <w:ind w:left="1440"/>
        <w:rPr>
          <w:rFonts w:cs="Arial"/>
          <w:b/>
          <w:bCs/>
        </w:rPr>
      </w:pPr>
      <w:hyperlink r:id="rId21" w:anchor="2" w:history="1">
        <w:r w:rsidRPr="002D59F6">
          <w:rPr>
            <w:rStyle w:val="Hyperlink"/>
            <w:rFonts w:cs="Arial"/>
          </w:rPr>
          <w:t>Yale University Policy 1010 Training and Other Requirements</w:t>
        </w:r>
      </w:hyperlink>
      <w:r w:rsidRPr="002D59F6" w:rsidR="00BD3080">
        <w:rPr>
          <w:rFonts w:cs="Arial"/>
        </w:rPr>
        <w:t xml:space="preserve"> </w:t>
      </w:r>
    </w:p>
    <w:p w:rsidR="007D72D8" w:rsidRPr="0053497E" w:rsidP="007D72D8" w14:paraId="2A46BA25" w14:textId="7E48CF18">
      <w:pPr>
        <w:pStyle w:val="SectionHeading"/>
        <w:numPr>
          <w:ilvl w:val="0"/>
          <w:numId w:val="36"/>
        </w:numPr>
        <w:spacing w:before="240" w:after="240"/>
        <w:ind w:left="720" w:hanging="720"/>
        <w:contextualSpacing w:val="0"/>
        <w:rPr>
          <w:color w:val="365F91" w:themeColor="accent1" w:themeShade="BF"/>
          <w:sz w:val="28"/>
          <w:szCs w:val="28"/>
        </w:rPr>
      </w:pPr>
      <w:r w:rsidRPr="0053497E">
        <w:rPr>
          <w:color w:val="365F91" w:themeColor="accent1" w:themeShade="BF"/>
          <w:sz w:val="28"/>
          <w:szCs w:val="28"/>
        </w:rPr>
        <w:t>Reference Materials</w:t>
      </w:r>
    </w:p>
    <w:p w:rsidR="007D72D8" w:rsidRPr="00634BCB" w:rsidP="007D72D8" w14:paraId="765FE37F" w14:textId="77777777">
      <w:pPr>
        <w:pStyle w:val="SectionHeading"/>
        <w:spacing w:before="240" w:after="240"/>
        <w:ind w:left="720"/>
        <w:contextualSpacing w:val="0"/>
        <w:rPr>
          <w:b w:val="0"/>
          <w:bCs/>
          <w:sz w:val="20"/>
        </w:rPr>
      </w:pPr>
      <w:r w:rsidRPr="00634BCB">
        <w:rPr>
          <w:rFonts w:cs="Arial"/>
          <w:b w:val="0"/>
          <w:bCs/>
          <w:sz w:val="20"/>
        </w:rPr>
        <w:t xml:space="preserve">Reference materials </w:t>
      </w:r>
      <w:r w:rsidRPr="00634BCB">
        <w:rPr>
          <w:rFonts w:cs="Arial"/>
          <w:b w:val="0"/>
          <w:bCs/>
          <w:sz w:val="20"/>
        </w:rPr>
        <w:t>are located in</w:t>
      </w:r>
      <w:r w:rsidRPr="00634BCB">
        <w:rPr>
          <w:rFonts w:cs="Arial"/>
          <w:b w:val="0"/>
          <w:bCs/>
          <w:sz w:val="20"/>
        </w:rPr>
        <w:t xml:space="preserve"> each functional area’s working directory</w:t>
      </w:r>
      <w:r>
        <w:rPr>
          <w:rFonts w:cs="Arial"/>
          <w:b w:val="0"/>
          <w:bCs/>
          <w:sz w:val="20"/>
        </w:rPr>
        <w:t>.</w:t>
      </w:r>
    </w:p>
    <w:p w:rsidR="007D72D8" w:rsidRPr="007D72D8" w:rsidP="007D72D8" w14:paraId="60D6FD8B" w14:textId="77777777">
      <w:pPr>
        <w:pStyle w:val="ListParagraph"/>
        <w:numPr>
          <w:ilvl w:val="0"/>
          <w:numId w:val="33"/>
        </w:numPr>
        <w:spacing w:line="276" w:lineRule="auto"/>
        <w:rPr>
          <w:rFonts w:cs="Arial"/>
        </w:rPr>
      </w:pPr>
      <w:r w:rsidRPr="007D72D8">
        <w:rPr>
          <w:rFonts w:cs="Arial"/>
        </w:rPr>
        <w:t>YCCI Foundations of Clinical Research curriculum</w:t>
      </w:r>
    </w:p>
    <w:p w:rsidR="007D72D8" w:rsidRPr="007D72D8" w:rsidP="007D72D8" w14:paraId="32C9B562" w14:textId="77777777">
      <w:pPr>
        <w:pStyle w:val="ListParagraph"/>
        <w:numPr>
          <w:ilvl w:val="0"/>
          <w:numId w:val="33"/>
        </w:numPr>
        <w:spacing w:line="276" w:lineRule="auto"/>
        <w:rPr>
          <w:rFonts w:cs="Arial"/>
        </w:rPr>
      </w:pPr>
      <w:r w:rsidRPr="007D72D8">
        <w:rPr>
          <w:rFonts w:cs="Arial"/>
        </w:rPr>
        <w:t>YCCI Laboratory Skills Competency Review</w:t>
      </w:r>
    </w:p>
    <w:p w:rsidR="007D72D8" w:rsidP="007D72D8" w14:paraId="7F403C0D" w14:textId="77777777">
      <w:pPr>
        <w:pStyle w:val="ListParagraph"/>
        <w:numPr>
          <w:ilvl w:val="0"/>
          <w:numId w:val="33"/>
        </w:numPr>
        <w:spacing w:line="276" w:lineRule="auto"/>
        <w:rPr>
          <w:rFonts w:cs="Arial"/>
        </w:rPr>
      </w:pPr>
      <w:r w:rsidRPr="007D72D8">
        <w:rPr>
          <w:rFonts w:cs="Arial"/>
        </w:rPr>
        <w:t>YCCI Required Laboratory Training</w:t>
      </w:r>
      <w:bookmarkStart w:id="2" w:name="_Toc432302941"/>
    </w:p>
    <w:p w:rsidR="0053497E" w:rsidP="007D72D8" w14:paraId="421D7A8C" w14:textId="28C9854E">
      <w:pPr>
        <w:pStyle w:val="ListParagraph"/>
        <w:numPr>
          <w:ilvl w:val="0"/>
          <w:numId w:val="33"/>
        </w:numPr>
        <w:spacing w:line="276" w:lineRule="auto"/>
        <w:rPr>
          <w:rFonts w:cs="Arial"/>
        </w:rPr>
      </w:pPr>
      <w:r>
        <w:rPr>
          <w:rFonts w:cs="Arial"/>
        </w:rPr>
        <w:t>YCCI Onboarding a New Employee Checklist</w:t>
      </w:r>
    </w:p>
    <w:p w:rsidR="000A2FA4" w:rsidRPr="007D72D8" w:rsidP="007D72D8" w14:paraId="5B42BCAB" w14:textId="16DEF47C">
      <w:pPr>
        <w:pStyle w:val="ListParagraph"/>
        <w:numPr>
          <w:ilvl w:val="0"/>
          <w:numId w:val="33"/>
        </w:numPr>
        <w:spacing w:line="276" w:lineRule="auto"/>
        <w:rPr>
          <w:rFonts w:cs="Arial"/>
        </w:rPr>
      </w:pPr>
      <w:r>
        <w:rPr>
          <w:rFonts w:cs="Arial"/>
        </w:rPr>
        <w:t>YCCI Onboarding a New Medix Employee Checklist</w:t>
      </w:r>
    </w:p>
    <w:bookmarkEnd w:id="2"/>
    <w:p w:rsidR="007D72D8" w:rsidRPr="0053497E" w:rsidP="007D72D8" w14:paraId="4ED8A96B" w14:textId="3DBE1A5E">
      <w:pPr>
        <w:pStyle w:val="SectionHeading"/>
        <w:numPr>
          <w:ilvl w:val="0"/>
          <w:numId w:val="37"/>
        </w:numPr>
        <w:spacing w:before="240" w:after="240"/>
        <w:ind w:left="720" w:hanging="720"/>
        <w:contextualSpacing w:val="0"/>
        <w:rPr>
          <w:b w:val="0"/>
          <w:color w:val="365F91" w:themeColor="accent1" w:themeShade="BF"/>
          <w:sz w:val="28"/>
          <w:szCs w:val="28"/>
        </w:rPr>
      </w:pPr>
      <w:r w:rsidRPr="0053497E">
        <w:rPr>
          <w:color w:val="365F91" w:themeColor="accent1" w:themeShade="BF"/>
          <w:sz w:val="28"/>
          <w:szCs w:val="28"/>
        </w:rPr>
        <w:t>Version History</w:t>
      </w:r>
    </w:p>
    <w:p w:rsidR="00D32D6E" w:rsidP="00AD38FA" w14:paraId="22E7F651" w14:textId="32BD51D6">
      <w:pPr>
        <w:pStyle w:val="BodyText"/>
        <w:numPr>
          <w:ilvl w:val="0"/>
          <w:numId w:val="27"/>
        </w:numPr>
        <w:spacing w:before="0" w:after="0" w:line="276" w:lineRule="auto"/>
        <w:rPr>
          <w:rFonts w:cs="Arial"/>
          <w:color w:val="000000"/>
        </w:rPr>
      </w:pPr>
      <w:r w:rsidRPr="007709B1">
        <w:rPr>
          <w:rFonts w:cs="Arial"/>
          <w:b/>
          <w:bCs/>
          <w:color w:val="000000"/>
        </w:rPr>
        <w:t>0</w:t>
      </w:r>
      <w:r>
        <w:rPr>
          <w:rFonts w:cs="Arial"/>
          <w:b/>
          <w:bCs/>
          <w:color w:val="000000"/>
        </w:rPr>
        <w:t>4/16</w:t>
      </w:r>
      <w:r w:rsidRPr="007709B1">
        <w:rPr>
          <w:rFonts w:cs="Arial"/>
          <w:b/>
          <w:bCs/>
          <w:color w:val="000000"/>
        </w:rPr>
        <w:t>/2024</w:t>
      </w:r>
      <w:r w:rsidRPr="00E862D6">
        <w:rPr>
          <w:rFonts w:cs="Arial"/>
          <w:color w:val="000000"/>
        </w:rPr>
        <w:t>: New document (no prior history)</w:t>
      </w:r>
    </w:p>
    <w:p w:rsidR="0053497E" w:rsidP="0053497E" w14:paraId="7685CE4D" w14:textId="77777777">
      <w:pPr>
        <w:pStyle w:val="BodyText"/>
        <w:spacing w:before="0" w:after="0" w:line="276" w:lineRule="auto"/>
        <w:rPr>
          <w:rFonts w:cs="Arial"/>
        </w:rPr>
      </w:pPr>
    </w:p>
    <w:p w:rsidR="0053497E" w:rsidP="0053497E" w14:paraId="3496A3B0" w14:textId="77777777">
      <w:pPr>
        <w:spacing w:before="240" w:after="240"/>
        <w:contextualSpacing/>
        <w:rPr>
          <w:rFonts w:ascii="Arial" w:hAnsi="Arial"/>
          <w:sz w:val="20"/>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53497E" w:rsidRPr="00825DBD" w:rsidP="0053497E" w14:paraId="6F54956E" w14:textId="77777777">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53497E" w:rsidRPr="00825DBD" w:rsidP="0053497E" w14:paraId="1AF584F7"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05/07/2024</w:t>
      </w:r>
    </w:p>
    <w:p w:rsidR="0053497E" w:rsidRPr="00825DBD" w:rsidP="0053497E" w14:paraId="57FAAFB3" w14:textId="77777777">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05/07/2024</w:t>
      </w:r>
      <w:r w:rsidRPr="00825DBD">
        <w:rPr>
          <w:rFonts w:ascii="Arial" w:hAnsi="Arial"/>
          <w:sz w:val="20"/>
        </w:rPr>
        <w:fldChar w:fldCharType="end"/>
      </w:r>
    </w:p>
    <w:p w:rsidR="0053497E" w:rsidRPr="00825DBD" w:rsidP="0053497E" w14:paraId="592158B2" w14:textId="77777777">
      <w:pPr>
        <w:spacing w:before="240" w:after="240"/>
        <w:contextualSpacing/>
        <w:rPr>
          <w:rFonts w:ascii="Arial" w:hAnsi="Arial"/>
          <w:sz w:val="20"/>
          <w:szCs w:val="24"/>
        </w:rPr>
      </w:pPr>
    </w:p>
    <w:p w:rsidR="0053497E" w:rsidRPr="00B419DA" w:rsidP="0053497E" w14:paraId="22C682DA" w14:textId="77777777">
      <w:pPr>
        <w:pStyle w:val="BodyText"/>
        <w:spacing w:before="0" w:after="0" w:line="276" w:lineRule="auto"/>
        <w:rPr>
          <w:rFonts w:cs="Arial"/>
          <w:color w:val="000000"/>
        </w:rPr>
      </w:pPr>
    </w:p>
    <w:sectPr w:rsidSect="00A51FC1">
      <w:headerReference w:type="even" r:id="rId22"/>
      <w:headerReference w:type="default" r:id="rId23"/>
      <w:footerReference w:type="even" r:id="rId24"/>
      <w:footerReference w:type="default" r:id="rId25"/>
      <w:headerReference w:type="first" r:id="rId26"/>
      <w:footerReference w:type="first" r:id="rId27"/>
      <w:type w:val="continuous"/>
      <w:pgSz w:w="12240" w:h="15840" w:orient="portrait" w:code="1"/>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3602550"/>
      <w:docPartObj>
        <w:docPartGallery w:val="Page Numbers (Bottom of Page)"/>
        <w:docPartUnique/>
      </w:docPartObj>
    </w:sdtPr>
    <w:sdtEndPr>
      <w:rPr>
        <w:i w:val="0"/>
        <w:iCs w:val="0"/>
      </w:rPr>
    </w:sdtEndPr>
    <w:sdtContent>
      <w:sdt>
        <w:sdtPr>
          <w:rPr>
            <w:i w:val="0"/>
            <w:iCs w:val="0"/>
          </w:rPr>
          <w:id w:val="1393363504"/>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5</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583A8AD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881925518"/>
          <w:docPartObj>
            <w:docPartGallery w:val="Page Numbers (Top of Page)"/>
            <w:docPartUnique/>
          </w:docPartObj>
        </w:sdtPr>
        <w:sdtContent>
          <w:p w:rsidR="00581A05" w:rsidRPr="00823578" w:rsidP="00823578" w14:paraId="7EE88D6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581A05" w14:paraId="127BC580"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581A05" w14:paraId="315473E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5</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497E" w:rsidP="0053497E" w14:paraId="28A95EF3"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53497E" w:rsidRPr="00BD3080" w:rsidP="0053497E" w14:paraId="04AC51C5" w14:textId="163076F4">
    <w:pPr>
      <w:pStyle w:val="DocTitle"/>
      <w:spacing w:line="240" w:lineRule="auto"/>
      <w:rPr>
        <w:color w:val="002060"/>
      </w:rPr>
    </w:pPr>
    <w:r w:rsidRPr="00BD3080">
      <w:rPr>
        <w:color w:val="002060"/>
      </w:rPr>
      <w:t>New Employee Orientation and Onboarding -0201- Procedure</w:t>
    </w:r>
  </w:p>
  <w:p w:rsidR="00825DBD" w:rsidRPr="00825DBD" w:rsidP="00825DBD" w14:paraId="31D66A98" w14:textId="47EBBB79">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Pr>
        <w:rFonts w:ascii="Arial" w:hAnsi="Arial"/>
        <w:sz w:val="20"/>
      </w:rPr>
      <w:t>YCCI</w:t>
    </w:r>
  </w:p>
  <w:p w:rsidR="00825DBD" w:rsidRPr="00825DBD" w:rsidP="00FC4460" w14:paraId="43E96EFA" w14:textId="6F9EC28E">
    <w:pPr>
      <w:spacing w:before="240" w:after="240"/>
      <w:ind w:left="2880" w:hanging="288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Pr>
        <w:rFonts w:ascii="Arial" w:hAnsi="Arial"/>
        <w:sz w:val="20"/>
      </w:rPr>
      <w:t>Rebecca Lilian, Erica Rocco, Manuel Avedissian, Julie Holub, Danielle Scavone, Kacey Richards, Theresa Goddard</w:t>
    </w:r>
  </w:p>
  <w:p w:rsidR="00825DBD" w:rsidRPr="00825DBD" w:rsidP="0053497E" w14:paraId="6B421F73" w14:textId="326E400B">
    <w:pPr>
      <w:spacing w:before="240"/>
      <w:contextualSpacing/>
      <w:rPr>
        <w:rFonts w:ascii="Arial" w:hAnsi="Arial"/>
        <w:sz w:val="20"/>
        <w:szCs w:val="24"/>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05/07/2024</w:t>
    </w:r>
    <w:r w:rsidRPr="00825DBD">
      <w:rPr>
        <w:rFonts w:ascii="Arial" w:hAnsi="Arial"/>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5BE1F7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39D6B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rsidP="004135B1" w14:paraId="4DACCD1C" w14:textId="77777777">
    <w:pPr>
      <w:pStyle w:val="DocTitle"/>
      <w:pBdr>
        <w:bottom w:val="none" w:sz="0" w:space="0" w:color="auto"/>
      </w:pBdr>
    </w:pPr>
    <w:r>
      <w:rPr>
        <w:noProof/>
      </w:rPr>
      <w:drawing>
        <wp:inline distT="0" distB="0" distL="0" distR="0">
          <wp:extent cx="2505075" cy="742950"/>
          <wp:effectExtent l="0" t="0" r="9525" b="0"/>
          <wp:docPr id="1478998280" name="Picture 1478998280"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478998280"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581A05" w:rsidRPr="00F95CFD" w:rsidP="002E77C3" w14:paraId="79459CC3"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New Employee Orientation and Onboarding -0201- Procedure</w:t>
    </w:r>
    <w:r w:rsidRPr="00F95CFD">
      <w:rPr>
        <w:b/>
        <w:bCs/>
        <w:sz w:val="36"/>
        <w:szCs w:val="36"/>
      </w:rPr>
      <w:fldChar w:fldCharType="end"/>
    </w:r>
  </w:p>
  <w:p w:rsidR="00581A05" w:rsidP="008D3096" w14:paraId="7E9BCCC3" w14:textId="77777777">
    <w:pPr>
      <w:rPr>
        <w:b/>
        <w:bCs/>
        <w:szCs w:val="24"/>
      </w:rPr>
    </w:pPr>
  </w:p>
  <w:p w:rsidR="00581A05" w:rsidRPr="00825DBD" w:rsidP="008D3096" w14:paraId="3A0B52A5"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581A05" w:rsidRPr="00825DBD" w:rsidP="008D3096" w14:paraId="5F6E5CE1"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581A05" w:rsidRPr="00825DBD" w:rsidP="008D3096" w14:paraId="27EE14E2"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Danielle Scavone, Erica Rocco, Julie Holub, Kacey Richards, Manuel Avedissian, Rebecca Lilian, Theresa Goddard</w:t>
    </w:r>
    <w:r>
      <w:fldChar w:fldCharType="end"/>
    </w:r>
    <w:r>
      <w:t xml:space="preserve"> (Writer’s name and title as reflected in PT)</w:t>
    </w:r>
  </w:p>
  <w:p w:rsidR="00581A05" w:rsidRPr="00825DBD" w:rsidP="008D3096" w14:paraId="73A3E037"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581A05" w:rsidRPr="00825DBD" w:rsidP="008D3096" w14:paraId="70DD8E12"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No Original</w:t>
    </w:r>
    <w:r>
      <w:t xml:space="preserve"> Creation Date Set</w:t>
    </w:r>
    <w:r>
      <w:fldChar w:fldCharType="end"/>
    </w:r>
  </w:p>
  <w:p w:rsidR="00581A05" w:rsidRPr="00825DBD" w:rsidP="008D3096" w14:paraId="7EA03E8C"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05/07/2024</w:t>
    </w:r>
    <w:r>
      <w:fldChar w:fldCharType="end"/>
    </w:r>
  </w:p>
  <w:p w:rsidR="00581A05" w:rsidRPr="008D3096" w:rsidP="004135B1" w14:paraId="648C845B"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05/07/2024</w:t>
    </w:r>
    <w:r>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11077549"/>
    <w:multiLevelType w:val="hybridMultilevel"/>
    <w:tmpl w:val="2D0687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D666506"/>
    <w:multiLevelType w:val="hybridMultilevel"/>
    <w:tmpl w:val="D39C841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2F2E42BB"/>
    <w:multiLevelType w:val="hybridMultilevel"/>
    <w:tmpl w:val="9AB8206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15:restartNumberingAfterBreak="0">
    <w:nsid w:val="30DD3EED"/>
    <w:multiLevelType w:val="multilevel"/>
    <w:tmpl w:val="B99C1634"/>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7B83DFC"/>
    <w:multiLevelType w:val="multilevel"/>
    <w:tmpl w:val="6CD22C36"/>
    <w:lvl w:ilvl="0">
      <w:start w:val="6"/>
      <w:numFmt w:val="decimal"/>
      <w:lvlText w:val="%1.0"/>
      <w:lvlJc w:val="left"/>
      <w:pPr>
        <w:ind w:left="648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3680" w:hanging="1800"/>
      </w:pPr>
      <w:rPr>
        <w:rFonts w:hint="default"/>
      </w:rPr>
    </w:lvl>
  </w:abstractNum>
  <w:abstractNum w:abstractNumId="16" w15:restartNumberingAfterBreak="0">
    <w:nsid w:val="39CC045E"/>
    <w:multiLevelType w:val="hybridMultilevel"/>
    <w:tmpl w:val="628027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15:restartNumberingAfterBreak="0">
    <w:nsid w:val="3EA1739C"/>
    <w:multiLevelType w:val="multilevel"/>
    <w:tmpl w:val="CBBC88DC"/>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0F65FF8"/>
    <w:multiLevelType w:val="multilevel"/>
    <w:tmpl w:val="F546024A"/>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B12B85"/>
    <w:multiLevelType w:val="multilevel"/>
    <w:tmpl w:val="6F94EEF6"/>
    <w:lvl w:ilvl="0">
      <w:start w:val="7"/>
      <w:numFmt w:val="decimal"/>
      <w:lvlText w:val="%1.0"/>
      <w:lvlJc w:val="left"/>
      <w:pPr>
        <w:ind w:left="648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3680" w:hanging="1800"/>
      </w:pPr>
      <w:rPr>
        <w:rFonts w:hint="default"/>
      </w:rPr>
    </w:lvl>
  </w:abstractNum>
  <w:abstractNum w:abstractNumId="21" w15:restartNumberingAfterBreak="0">
    <w:nsid w:val="443A28D2"/>
    <w:multiLevelType w:val="hybridMultilevel"/>
    <w:tmpl w:val="DFF437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15:restartNumberingAfterBreak="0">
    <w:nsid w:val="4ABC61B7"/>
    <w:multiLevelType w:val="multilevel"/>
    <w:tmpl w:val="088416A4"/>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68BC4702"/>
    <w:multiLevelType w:val="multilevel"/>
    <w:tmpl w:val="8338A1BE"/>
    <w:lvl w:ilvl="0">
      <w:start w:val="2"/>
      <w:numFmt w:val="decimal"/>
      <w:lvlText w:val="%1.0"/>
      <w:lvlJc w:val="left"/>
      <w:pPr>
        <w:ind w:left="360" w:hanging="360"/>
      </w:pPr>
      <w:rPr>
        <w:rFonts w:hint="default"/>
        <w:b/>
        <w:color w:val="365F91" w:themeColor="accent1" w:themeShade="BF"/>
      </w:rPr>
    </w:lvl>
    <w:lvl w:ilvl="1">
      <w:start w:val="1"/>
      <w:numFmt w:val="decimal"/>
      <w:lvlText w:val="%1.%2"/>
      <w:lvlJc w:val="left"/>
      <w:pPr>
        <w:ind w:left="1080" w:hanging="360"/>
      </w:pPr>
      <w:rPr>
        <w:rFonts w:hint="default"/>
        <w:b/>
        <w:color w:val="000000"/>
        <w:sz w:val="20"/>
        <w:szCs w:val="20"/>
      </w:rPr>
    </w:lvl>
    <w:lvl w:ilvl="2">
      <w:start w:val="1"/>
      <w:numFmt w:val="decimal"/>
      <w:lvlText w:val="%1.%2.%3"/>
      <w:lvlJc w:val="left"/>
      <w:pPr>
        <w:ind w:left="2160" w:hanging="720"/>
      </w:pPr>
      <w:rPr>
        <w:rFonts w:hint="default"/>
        <w:b w:val="0"/>
        <w:bCs/>
        <w:color w:val="000000"/>
        <w:sz w:val="20"/>
        <w:szCs w:val="2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29"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A2F6BF8"/>
    <w:multiLevelType w:val="hybridMultilevel"/>
    <w:tmpl w:val="9B5EF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703B611F"/>
    <w:multiLevelType w:val="multilevel"/>
    <w:tmpl w:val="0ADACB70"/>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18F4374"/>
    <w:multiLevelType w:val="multilevel"/>
    <w:tmpl w:val="D2D239BA"/>
    <w:lvl w:ilvl="0">
      <w:start w:val="7"/>
      <w:numFmt w:val="decimal"/>
      <w:lvlText w:val="%1"/>
      <w:lvlJc w:val="left"/>
      <w:pPr>
        <w:ind w:left="360" w:hanging="360"/>
      </w:pPr>
      <w:rPr>
        <w:rFonts w:eastAsia="Times New Roman" w:cs="Times New Roman" w:hint="default"/>
        <w:b/>
      </w:rPr>
    </w:lvl>
    <w:lvl w:ilvl="1">
      <w:start w:val="2"/>
      <w:numFmt w:val="decimal"/>
      <w:lvlText w:val="%1.%2"/>
      <w:lvlJc w:val="left"/>
      <w:pPr>
        <w:ind w:left="1080" w:hanging="360"/>
      </w:pPr>
      <w:rPr>
        <w:rFonts w:eastAsia="Times New Roman" w:cs="Times New Roman" w:hint="default"/>
        <w:b/>
      </w:rPr>
    </w:lvl>
    <w:lvl w:ilvl="2">
      <w:start w:val="1"/>
      <w:numFmt w:val="decimal"/>
      <w:lvlText w:val="%1.%2.%3"/>
      <w:lvlJc w:val="left"/>
      <w:pPr>
        <w:ind w:left="2160" w:hanging="720"/>
      </w:pPr>
      <w:rPr>
        <w:rFonts w:eastAsia="Times New Roman" w:cs="Times New Roman" w:hint="default"/>
        <w:b/>
      </w:rPr>
    </w:lvl>
    <w:lvl w:ilvl="3">
      <w:start w:val="1"/>
      <w:numFmt w:val="decimal"/>
      <w:lvlText w:val="%1.%2.%3.%4"/>
      <w:lvlJc w:val="left"/>
      <w:pPr>
        <w:ind w:left="2880" w:hanging="720"/>
      </w:pPr>
      <w:rPr>
        <w:rFonts w:eastAsia="Times New Roman" w:cs="Times New Roman" w:hint="default"/>
        <w:b/>
      </w:rPr>
    </w:lvl>
    <w:lvl w:ilvl="4">
      <w:start w:val="1"/>
      <w:numFmt w:val="decimal"/>
      <w:lvlText w:val="%1.%2.%3.%4.%5"/>
      <w:lvlJc w:val="left"/>
      <w:pPr>
        <w:ind w:left="3960" w:hanging="1080"/>
      </w:pPr>
      <w:rPr>
        <w:rFonts w:eastAsia="Times New Roman" w:cs="Times New Roman" w:hint="default"/>
        <w:b/>
      </w:rPr>
    </w:lvl>
    <w:lvl w:ilvl="5">
      <w:start w:val="1"/>
      <w:numFmt w:val="decimal"/>
      <w:lvlText w:val="%1.%2.%3.%4.%5.%6"/>
      <w:lvlJc w:val="left"/>
      <w:pPr>
        <w:ind w:left="4680" w:hanging="1080"/>
      </w:pPr>
      <w:rPr>
        <w:rFonts w:eastAsia="Times New Roman" w:cs="Times New Roman" w:hint="default"/>
        <w:b/>
      </w:rPr>
    </w:lvl>
    <w:lvl w:ilvl="6">
      <w:start w:val="1"/>
      <w:numFmt w:val="decimal"/>
      <w:lvlText w:val="%1.%2.%3.%4.%5.%6.%7"/>
      <w:lvlJc w:val="left"/>
      <w:pPr>
        <w:ind w:left="5760" w:hanging="1440"/>
      </w:pPr>
      <w:rPr>
        <w:rFonts w:eastAsia="Times New Roman" w:cs="Times New Roman" w:hint="default"/>
        <w:b/>
      </w:rPr>
    </w:lvl>
    <w:lvl w:ilvl="7">
      <w:start w:val="1"/>
      <w:numFmt w:val="decimal"/>
      <w:lvlText w:val="%1.%2.%3.%4.%5.%6.%7.%8"/>
      <w:lvlJc w:val="left"/>
      <w:pPr>
        <w:ind w:left="6480" w:hanging="1440"/>
      </w:pPr>
      <w:rPr>
        <w:rFonts w:eastAsia="Times New Roman" w:cs="Times New Roman" w:hint="default"/>
        <w:b/>
      </w:rPr>
    </w:lvl>
    <w:lvl w:ilvl="8">
      <w:start w:val="1"/>
      <w:numFmt w:val="decimal"/>
      <w:lvlText w:val="%1.%2.%3.%4.%5.%6.%7.%8.%9"/>
      <w:lvlJc w:val="left"/>
      <w:pPr>
        <w:ind w:left="7560" w:hanging="1800"/>
      </w:pPr>
      <w:rPr>
        <w:rFonts w:eastAsia="Times New Roman" w:cs="Times New Roman" w:hint="default"/>
        <w:b/>
      </w:rPr>
    </w:lvl>
  </w:abstractNum>
  <w:abstractNum w:abstractNumId="33"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5"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15:restartNumberingAfterBreak="0">
    <w:nsid w:val="75FD429D"/>
    <w:multiLevelType w:val="multilevel"/>
    <w:tmpl w:val="8E221FF0"/>
    <w:lvl w:ilvl="0">
      <w:start w:val="9"/>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37"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8" w15:restartNumberingAfterBreak="0">
    <w:nsid w:val="787567E8"/>
    <w:multiLevelType w:val="hybridMultilevel"/>
    <w:tmpl w:val="1114916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9"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0"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41" w15:restartNumberingAfterBreak="0">
    <w:nsid w:val="7C546348"/>
    <w:multiLevelType w:val="multilevel"/>
    <w:tmpl w:val="35C63AB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num w:numId="1" w16cid:durableId="1757894480">
    <w:abstractNumId w:val="40"/>
  </w:num>
  <w:num w:numId="2" w16cid:durableId="2019381590">
    <w:abstractNumId w:val="6"/>
  </w:num>
  <w:num w:numId="3" w16cid:durableId="1314800816">
    <w:abstractNumId w:val="4"/>
  </w:num>
  <w:num w:numId="4" w16cid:durableId="660541806">
    <w:abstractNumId w:val="2"/>
  </w:num>
  <w:num w:numId="5" w16cid:durableId="1718890816">
    <w:abstractNumId w:val="9"/>
  </w:num>
  <w:num w:numId="6" w16cid:durableId="1626815938">
    <w:abstractNumId w:val="39"/>
  </w:num>
  <w:num w:numId="7" w16cid:durableId="188033005">
    <w:abstractNumId w:val="1"/>
  </w:num>
  <w:num w:numId="8" w16cid:durableId="2001611608">
    <w:abstractNumId w:val="10"/>
  </w:num>
  <w:num w:numId="9" w16cid:durableId="158431147">
    <w:abstractNumId w:val="17"/>
  </w:num>
  <w:num w:numId="10" w16cid:durableId="1045829789">
    <w:abstractNumId w:val="23"/>
  </w:num>
  <w:num w:numId="11" w16cid:durableId="1776097496">
    <w:abstractNumId w:val="13"/>
  </w:num>
  <w:num w:numId="12" w16cid:durableId="1191451107">
    <w:abstractNumId w:val="33"/>
  </w:num>
  <w:num w:numId="13" w16cid:durableId="1459301750">
    <w:abstractNumId w:val="7"/>
  </w:num>
  <w:num w:numId="14" w16cid:durableId="1259217049">
    <w:abstractNumId w:val="29"/>
  </w:num>
  <w:num w:numId="15" w16cid:durableId="447549081">
    <w:abstractNumId w:val="0"/>
  </w:num>
  <w:num w:numId="16" w16cid:durableId="617378431">
    <w:abstractNumId w:val="34"/>
  </w:num>
  <w:num w:numId="17" w16cid:durableId="1120606456">
    <w:abstractNumId w:val="3"/>
  </w:num>
  <w:num w:numId="18" w16cid:durableId="638460244">
    <w:abstractNumId w:val="27"/>
  </w:num>
  <w:num w:numId="19" w16cid:durableId="1415470845">
    <w:abstractNumId w:val="25"/>
  </w:num>
  <w:num w:numId="20" w16cid:durableId="1461455832">
    <w:abstractNumId w:val="37"/>
  </w:num>
  <w:num w:numId="21" w16cid:durableId="155189563">
    <w:abstractNumId w:val="8"/>
  </w:num>
  <w:num w:numId="22" w16cid:durableId="1399865994">
    <w:abstractNumId w:val="26"/>
  </w:num>
  <w:num w:numId="23" w16cid:durableId="1118328525">
    <w:abstractNumId w:val="5"/>
  </w:num>
  <w:num w:numId="24" w16cid:durableId="250703795">
    <w:abstractNumId w:val="31"/>
  </w:num>
  <w:num w:numId="25" w16cid:durableId="72821613">
    <w:abstractNumId w:val="28"/>
  </w:num>
  <w:num w:numId="26" w16cid:durableId="1744839772">
    <w:abstractNumId w:val="18"/>
  </w:num>
  <w:num w:numId="27" w16cid:durableId="1194150504">
    <w:abstractNumId w:val="22"/>
  </w:num>
  <w:num w:numId="28" w16cid:durableId="1101343723">
    <w:abstractNumId w:val="35"/>
  </w:num>
  <w:num w:numId="29" w16cid:durableId="1422877233">
    <w:abstractNumId w:val="11"/>
  </w:num>
  <w:num w:numId="30" w16cid:durableId="2045329471">
    <w:abstractNumId w:val="32"/>
  </w:num>
  <w:num w:numId="31" w16cid:durableId="18970861">
    <w:abstractNumId w:val="38"/>
  </w:num>
  <w:num w:numId="32" w16cid:durableId="1576815877">
    <w:abstractNumId w:val="41"/>
  </w:num>
  <w:num w:numId="33" w16cid:durableId="1618442616">
    <w:abstractNumId w:val="16"/>
  </w:num>
  <w:num w:numId="34" w16cid:durableId="894662358">
    <w:abstractNumId w:val="15"/>
  </w:num>
  <w:num w:numId="35" w16cid:durableId="210069927">
    <w:abstractNumId w:val="20"/>
  </w:num>
  <w:num w:numId="36" w16cid:durableId="1840609381">
    <w:abstractNumId w:val="24"/>
  </w:num>
  <w:num w:numId="37" w16cid:durableId="1359116018">
    <w:abstractNumId w:val="36"/>
  </w:num>
  <w:num w:numId="38" w16cid:durableId="684133715">
    <w:abstractNumId w:val="30"/>
  </w:num>
  <w:num w:numId="39" w16cid:durableId="973413526">
    <w:abstractNumId w:val="12"/>
  </w:num>
  <w:num w:numId="40" w16cid:durableId="773405294">
    <w:abstractNumId w:val="21"/>
  </w:num>
  <w:num w:numId="41" w16cid:durableId="165216332">
    <w:abstractNumId w:val="14"/>
  </w:num>
  <w:num w:numId="42" w16cid:durableId="15395824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06A41"/>
    <w:rsid w:val="00006C2F"/>
    <w:rsid w:val="000169BC"/>
    <w:rsid w:val="00022D91"/>
    <w:rsid w:val="0002391B"/>
    <w:rsid w:val="00025CC9"/>
    <w:rsid w:val="00026991"/>
    <w:rsid w:val="00033FF2"/>
    <w:rsid w:val="0005290F"/>
    <w:rsid w:val="00052EC6"/>
    <w:rsid w:val="00067A51"/>
    <w:rsid w:val="00070F28"/>
    <w:rsid w:val="0007105D"/>
    <w:rsid w:val="000835A5"/>
    <w:rsid w:val="0008413B"/>
    <w:rsid w:val="000941F9"/>
    <w:rsid w:val="000968D8"/>
    <w:rsid w:val="000A0153"/>
    <w:rsid w:val="000A08B8"/>
    <w:rsid w:val="000A1546"/>
    <w:rsid w:val="000A2594"/>
    <w:rsid w:val="000A2FA4"/>
    <w:rsid w:val="000A506D"/>
    <w:rsid w:val="000A5C78"/>
    <w:rsid w:val="000A60CE"/>
    <w:rsid w:val="000A64C5"/>
    <w:rsid w:val="000C570F"/>
    <w:rsid w:val="000D2EF4"/>
    <w:rsid w:val="000D5F1F"/>
    <w:rsid w:val="000E1DCA"/>
    <w:rsid w:val="000E5793"/>
    <w:rsid w:val="000E6116"/>
    <w:rsid w:val="000E6AFB"/>
    <w:rsid w:val="000F0F28"/>
    <w:rsid w:val="000F19DB"/>
    <w:rsid w:val="000F33BD"/>
    <w:rsid w:val="000F374C"/>
    <w:rsid w:val="000F3F14"/>
    <w:rsid w:val="000F4F5B"/>
    <w:rsid w:val="000F651F"/>
    <w:rsid w:val="000F728C"/>
    <w:rsid w:val="00105361"/>
    <w:rsid w:val="00107E52"/>
    <w:rsid w:val="00113637"/>
    <w:rsid w:val="00117703"/>
    <w:rsid w:val="0011770A"/>
    <w:rsid w:val="00121A11"/>
    <w:rsid w:val="001251D9"/>
    <w:rsid w:val="0012718A"/>
    <w:rsid w:val="00142309"/>
    <w:rsid w:val="0015648B"/>
    <w:rsid w:val="001627A0"/>
    <w:rsid w:val="00162BCF"/>
    <w:rsid w:val="00165546"/>
    <w:rsid w:val="0016649B"/>
    <w:rsid w:val="001669A2"/>
    <w:rsid w:val="001719AC"/>
    <w:rsid w:val="0017611A"/>
    <w:rsid w:val="00177A9C"/>
    <w:rsid w:val="00181446"/>
    <w:rsid w:val="001820E8"/>
    <w:rsid w:val="00182572"/>
    <w:rsid w:val="00183283"/>
    <w:rsid w:val="001955CA"/>
    <w:rsid w:val="001970F4"/>
    <w:rsid w:val="001A0CFC"/>
    <w:rsid w:val="001A7501"/>
    <w:rsid w:val="001A7AF1"/>
    <w:rsid w:val="001B03FF"/>
    <w:rsid w:val="001B4791"/>
    <w:rsid w:val="001B5AC9"/>
    <w:rsid w:val="001B7B5D"/>
    <w:rsid w:val="001C0799"/>
    <w:rsid w:val="001C0A5E"/>
    <w:rsid w:val="001C1FDD"/>
    <w:rsid w:val="001C49D4"/>
    <w:rsid w:val="001C57F3"/>
    <w:rsid w:val="001C7346"/>
    <w:rsid w:val="001D0E49"/>
    <w:rsid w:val="001D6E12"/>
    <w:rsid w:val="001E2F63"/>
    <w:rsid w:val="001E482E"/>
    <w:rsid w:val="001E7CC9"/>
    <w:rsid w:val="001F2D93"/>
    <w:rsid w:val="001F686B"/>
    <w:rsid w:val="001F7662"/>
    <w:rsid w:val="001F7A0B"/>
    <w:rsid w:val="002039C7"/>
    <w:rsid w:val="00205B46"/>
    <w:rsid w:val="00210637"/>
    <w:rsid w:val="002130FF"/>
    <w:rsid w:val="00214C14"/>
    <w:rsid w:val="00216640"/>
    <w:rsid w:val="00220BEF"/>
    <w:rsid w:val="00235CE5"/>
    <w:rsid w:val="0024199A"/>
    <w:rsid w:val="00241AD2"/>
    <w:rsid w:val="002428C3"/>
    <w:rsid w:val="002437C4"/>
    <w:rsid w:val="0024564B"/>
    <w:rsid w:val="00245C8F"/>
    <w:rsid w:val="002465D2"/>
    <w:rsid w:val="00247AF1"/>
    <w:rsid w:val="002506FE"/>
    <w:rsid w:val="00251FCA"/>
    <w:rsid w:val="00260B84"/>
    <w:rsid w:val="002632F6"/>
    <w:rsid w:val="00267874"/>
    <w:rsid w:val="00267E18"/>
    <w:rsid w:val="00270074"/>
    <w:rsid w:val="00270C14"/>
    <w:rsid w:val="00271E24"/>
    <w:rsid w:val="002725F4"/>
    <w:rsid w:val="00277B7B"/>
    <w:rsid w:val="00281F82"/>
    <w:rsid w:val="00282C2E"/>
    <w:rsid w:val="00283BBB"/>
    <w:rsid w:val="00285BB2"/>
    <w:rsid w:val="00286C21"/>
    <w:rsid w:val="002875E0"/>
    <w:rsid w:val="002936CD"/>
    <w:rsid w:val="002961AE"/>
    <w:rsid w:val="002A21AD"/>
    <w:rsid w:val="002A5D5B"/>
    <w:rsid w:val="002A73EE"/>
    <w:rsid w:val="002A7B86"/>
    <w:rsid w:val="002B175D"/>
    <w:rsid w:val="002B183A"/>
    <w:rsid w:val="002B21E1"/>
    <w:rsid w:val="002B7A89"/>
    <w:rsid w:val="002C4A64"/>
    <w:rsid w:val="002C5207"/>
    <w:rsid w:val="002C691D"/>
    <w:rsid w:val="002C6E0D"/>
    <w:rsid w:val="002D15C4"/>
    <w:rsid w:val="002D4024"/>
    <w:rsid w:val="002D50E3"/>
    <w:rsid w:val="002D59F6"/>
    <w:rsid w:val="002D65C1"/>
    <w:rsid w:val="002E0BB3"/>
    <w:rsid w:val="002E340E"/>
    <w:rsid w:val="002E77C3"/>
    <w:rsid w:val="002F0024"/>
    <w:rsid w:val="002F3DC2"/>
    <w:rsid w:val="00300226"/>
    <w:rsid w:val="00304E50"/>
    <w:rsid w:val="00312D54"/>
    <w:rsid w:val="00317E90"/>
    <w:rsid w:val="00320658"/>
    <w:rsid w:val="00321D0F"/>
    <w:rsid w:val="00323BDA"/>
    <w:rsid w:val="00324C9D"/>
    <w:rsid w:val="00327832"/>
    <w:rsid w:val="00331229"/>
    <w:rsid w:val="00331873"/>
    <w:rsid w:val="00332C67"/>
    <w:rsid w:val="00334D7C"/>
    <w:rsid w:val="00340AF8"/>
    <w:rsid w:val="00343BC4"/>
    <w:rsid w:val="003472AD"/>
    <w:rsid w:val="0034772D"/>
    <w:rsid w:val="003548BF"/>
    <w:rsid w:val="00364A0D"/>
    <w:rsid w:val="0036502B"/>
    <w:rsid w:val="00371C80"/>
    <w:rsid w:val="00376716"/>
    <w:rsid w:val="00376976"/>
    <w:rsid w:val="00387406"/>
    <w:rsid w:val="00390BDE"/>
    <w:rsid w:val="00390FC2"/>
    <w:rsid w:val="00392960"/>
    <w:rsid w:val="003940F9"/>
    <w:rsid w:val="003A24A9"/>
    <w:rsid w:val="003A347D"/>
    <w:rsid w:val="003A622B"/>
    <w:rsid w:val="003B160A"/>
    <w:rsid w:val="003B1AB5"/>
    <w:rsid w:val="003B57D2"/>
    <w:rsid w:val="003B65E2"/>
    <w:rsid w:val="003B786B"/>
    <w:rsid w:val="003C246D"/>
    <w:rsid w:val="003C73AC"/>
    <w:rsid w:val="003D5567"/>
    <w:rsid w:val="003E13B0"/>
    <w:rsid w:val="003E23FF"/>
    <w:rsid w:val="003E469B"/>
    <w:rsid w:val="003E5BF1"/>
    <w:rsid w:val="003F02CE"/>
    <w:rsid w:val="003F08E7"/>
    <w:rsid w:val="003F1630"/>
    <w:rsid w:val="003F429B"/>
    <w:rsid w:val="003F62A7"/>
    <w:rsid w:val="003F76D1"/>
    <w:rsid w:val="004038C4"/>
    <w:rsid w:val="004069B9"/>
    <w:rsid w:val="00407B99"/>
    <w:rsid w:val="004135B1"/>
    <w:rsid w:val="004142AB"/>
    <w:rsid w:val="0041431B"/>
    <w:rsid w:val="00416917"/>
    <w:rsid w:val="00423312"/>
    <w:rsid w:val="00423D18"/>
    <w:rsid w:val="00425047"/>
    <w:rsid w:val="00426D84"/>
    <w:rsid w:val="00426DC3"/>
    <w:rsid w:val="00430EFA"/>
    <w:rsid w:val="00432E40"/>
    <w:rsid w:val="00433404"/>
    <w:rsid w:val="00446703"/>
    <w:rsid w:val="004676A5"/>
    <w:rsid w:val="00475772"/>
    <w:rsid w:val="0047723D"/>
    <w:rsid w:val="00477589"/>
    <w:rsid w:val="00483DE8"/>
    <w:rsid w:val="00491530"/>
    <w:rsid w:val="00491760"/>
    <w:rsid w:val="00493005"/>
    <w:rsid w:val="0049441A"/>
    <w:rsid w:val="004968D4"/>
    <w:rsid w:val="004A0C25"/>
    <w:rsid w:val="004A4DD7"/>
    <w:rsid w:val="004A5EBC"/>
    <w:rsid w:val="004B2E2E"/>
    <w:rsid w:val="004B40C4"/>
    <w:rsid w:val="004B4C5C"/>
    <w:rsid w:val="004C2940"/>
    <w:rsid w:val="004C5C00"/>
    <w:rsid w:val="004C70F6"/>
    <w:rsid w:val="004D23FD"/>
    <w:rsid w:val="004D429D"/>
    <w:rsid w:val="004D72E4"/>
    <w:rsid w:val="004E0064"/>
    <w:rsid w:val="004E39DE"/>
    <w:rsid w:val="004F0266"/>
    <w:rsid w:val="004F03D4"/>
    <w:rsid w:val="004F0A2A"/>
    <w:rsid w:val="004F445E"/>
    <w:rsid w:val="004F57B3"/>
    <w:rsid w:val="004F6FC2"/>
    <w:rsid w:val="005027DE"/>
    <w:rsid w:val="0051312B"/>
    <w:rsid w:val="00520E45"/>
    <w:rsid w:val="005214FC"/>
    <w:rsid w:val="005217FD"/>
    <w:rsid w:val="005240F3"/>
    <w:rsid w:val="0052796E"/>
    <w:rsid w:val="00533692"/>
    <w:rsid w:val="0053497E"/>
    <w:rsid w:val="005434C8"/>
    <w:rsid w:val="00552EFC"/>
    <w:rsid w:val="0056675B"/>
    <w:rsid w:val="005668EC"/>
    <w:rsid w:val="00567F11"/>
    <w:rsid w:val="00571237"/>
    <w:rsid w:val="0057250B"/>
    <w:rsid w:val="0057412A"/>
    <w:rsid w:val="005777ED"/>
    <w:rsid w:val="00581A05"/>
    <w:rsid w:val="00582FE3"/>
    <w:rsid w:val="00583A24"/>
    <w:rsid w:val="005865E2"/>
    <w:rsid w:val="00594A40"/>
    <w:rsid w:val="005970DC"/>
    <w:rsid w:val="005A2ADD"/>
    <w:rsid w:val="005B0A44"/>
    <w:rsid w:val="005B7864"/>
    <w:rsid w:val="005C4EC3"/>
    <w:rsid w:val="005C63F4"/>
    <w:rsid w:val="005D491B"/>
    <w:rsid w:val="005D576B"/>
    <w:rsid w:val="005E496E"/>
    <w:rsid w:val="005F134E"/>
    <w:rsid w:val="005F2121"/>
    <w:rsid w:val="00601FBF"/>
    <w:rsid w:val="00607DD7"/>
    <w:rsid w:val="00613E6F"/>
    <w:rsid w:val="00623821"/>
    <w:rsid w:val="00626E02"/>
    <w:rsid w:val="00634424"/>
    <w:rsid w:val="00634BCB"/>
    <w:rsid w:val="006361EE"/>
    <w:rsid w:val="006401E3"/>
    <w:rsid w:val="0064051E"/>
    <w:rsid w:val="00647956"/>
    <w:rsid w:val="0065016B"/>
    <w:rsid w:val="00655EEE"/>
    <w:rsid w:val="00656C74"/>
    <w:rsid w:val="0066026E"/>
    <w:rsid w:val="00663FE2"/>
    <w:rsid w:val="00665A6B"/>
    <w:rsid w:val="00665E83"/>
    <w:rsid w:val="00666857"/>
    <w:rsid w:val="00672221"/>
    <w:rsid w:val="00673F74"/>
    <w:rsid w:val="00683203"/>
    <w:rsid w:val="006840C7"/>
    <w:rsid w:val="00684D3C"/>
    <w:rsid w:val="006856D5"/>
    <w:rsid w:val="00692BC0"/>
    <w:rsid w:val="006946FC"/>
    <w:rsid w:val="006A0AC1"/>
    <w:rsid w:val="006A453F"/>
    <w:rsid w:val="006A5FD0"/>
    <w:rsid w:val="006B0516"/>
    <w:rsid w:val="006B09DC"/>
    <w:rsid w:val="006B6633"/>
    <w:rsid w:val="006B6C54"/>
    <w:rsid w:val="006B7549"/>
    <w:rsid w:val="006C06FD"/>
    <w:rsid w:val="006C1388"/>
    <w:rsid w:val="006C1B76"/>
    <w:rsid w:val="006C2776"/>
    <w:rsid w:val="006C6F49"/>
    <w:rsid w:val="006D2A8C"/>
    <w:rsid w:val="006D3CA9"/>
    <w:rsid w:val="006E172D"/>
    <w:rsid w:val="006E201A"/>
    <w:rsid w:val="006E5115"/>
    <w:rsid w:val="006E7105"/>
    <w:rsid w:val="006F2C7F"/>
    <w:rsid w:val="006F2F54"/>
    <w:rsid w:val="00704ED2"/>
    <w:rsid w:val="00715C85"/>
    <w:rsid w:val="00717F1E"/>
    <w:rsid w:val="0072321C"/>
    <w:rsid w:val="0072458A"/>
    <w:rsid w:val="00731C56"/>
    <w:rsid w:val="0073281C"/>
    <w:rsid w:val="00733801"/>
    <w:rsid w:val="00734FFD"/>
    <w:rsid w:val="007370CD"/>
    <w:rsid w:val="007439CE"/>
    <w:rsid w:val="0074680C"/>
    <w:rsid w:val="0075713A"/>
    <w:rsid w:val="00761900"/>
    <w:rsid w:val="0076255B"/>
    <w:rsid w:val="00762C18"/>
    <w:rsid w:val="00763F1D"/>
    <w:rsid w:val="007709B1"/>
    <w:rsid w:val="00770CE2"/>
    <w:rsid w:val="00772D23"/>
    <w:rsid w:val="007743C4"/>
    <w:rsid w:val="00780B11"/>
    <w:rsid w:val="00781E25"/>
    <w:rsid w:val="0079028A"/>
    <w:rsid w:val="007A1F86"/>
    <w:rsid w:val="007A5B43"/>
    <w:rsid w:val="007B2A0D"/>
    <w:rsid w:val="007B4D50"/>
    <w:rsid w:val="007B6035"/>
    <w:rsid w:val="007C0005"/>
    <w:rsid w:val="007C4B04"/>
    <w:rsid w:val="007D0518"/>
    <w:rsid w:val="007D3543"/>
    <w:rsid w:val="007D72D8"/>
    <w:rsid w:val="007D7AD3"/>
    <w:rsid w:val="007E0739"/>
    <w:rsid w:val="007F1DAA"/>
    <w:rsid w:val="00801AF1"/>
    <w:rsid w:val="0080537A"/>
    <w:rsid w:val="00805D01"/>
    <w:rsid w:val="008115C4"/>
    <w:rsid w:val="0081404E"/>
    <w:rsid w:val="00816073"/>
    <w:rsid w:val="00823578"/>
    <w:rsid w:val="00825DBD"/>
    <w:rsid w:val="0083680E"/>
    <w:rsid w:val="0084342E"/>
    <w:rsid w:val="00843C71"/>
    <w:rsid w:val="0084451B"/>
    <w:rsid w:val="00845C0D"/>
    <w:rsid w:val="008646D0"/>
    <w:rsid w:val="00866767"/>
    <w:rsid w:val="00873DC4"/>
    <w:rsid w:val="00874AAF"/>
    <w:rsid w:val="00881808"/>
    <w:rsid w:val="00886B72"/>
    <w:rsid w:val="00887ACA"/>
    <w:rsid w:val="008907C9"/>
    <w:rsid w:val="00891BE7"/>
    <w:rsid w:val="00891F93"/>
    <w:rsid w:val="00894643"/>
    <w:rsid w:val="0089772C"/>
    <w:rsid w:val="008A19D9"/>
    <w:rsid w:val="008A675D"/>
    <w:rsid w:val="008B39F4"/>
    <w:rsid w:val="008B3C71"/>
    <w:rsid w:val="008B6093"/>
    <w:rsid w:val="008C3686"/>
    <w:rsid w:val="008C3E77"/>
    <w:rsid w:val="008D3096"/>
    <w:rsid w:val="008D39F7"/>
    <w:rsid w:val="008D4061"/>
    <w:rsid w:val="008E029F"/>
    <w:rsid w:val="008E4178"/>
    <w:rsid w:val="008E5B1E"/>
    <w:rsid w:val="008F0A4E"/>
    <w:rsid w:val="008F26E6"/>
    <w:rsid w:val="008F29BF"/>
    <w:rsid w:val="00900D81"/>
    <w:rsid w:val="00901D63"/>
    <w:rsid w:val="009023CD"/>
    <w:rsid w:val="00910061"/>
    <w:rsid w:val="00912D28"/>
    <w:rsid w:val="0091676E"/>
    <w:rsid w:val="00917A22"/>
    <w:rsid w:val="00925EF1"/>
    <w:rsid w:val="00927017"/>
    <w:rsid w:val="0092751C"/>
    <w:rsid w:val="009372A2"/>
    <w:rsid w:val="00940D77"/>
    <w:rsid w:val="00941327"/>
    <w:rsid w:val="009436C7"/>
    <w:rsid w:val="00947CC3"/>
    <w:rsid w:val="0095126B"/>
    <w:rsid w:val="00957505"/>
    <w:rsid w:val="00961773"/>
    <w:rsid w:val="00963096"/>
    <w:rsid w:val="009668A6"/>
    <w:rsid w:val="00967AD9"/>
    <w:rsid w:val="00976061"/>
    <w:rsid w:val="009774F0"/>
    <w:rsid w:val="00983D7B"/>
    <w:rsid w:val="0098578F"/>
    <w:rsid w:val="00986CDE"/>
    <w:rsid w:val="009907A3"/>
    <w:rsid w:val="00994F0B"/>
    <w:rsid w:val="00995CFC"/>
    <w:rsid w:val="009A548E"/>
    <w:rsid w:val="009A5B56"/>
    <w:rsid w:val="009B600C"/>
    <w:rsid w:val="009B7DE3"/>
    <w:rsid w:val="009D1DDA"/>
    <w:rsid w:val="009D34BF"/>
    <w:rsid w:val="009D48C3"/>
    <w:rsid w:val="009E0102"/>
    <w:rsid w:val="009E2BD7"/>
    <w:rsid w:val="009F0B37"/>
    <w:rsid w:val="009F3B0B"/>
    <w:rsid w:val="009F3B91"/>
    <w:rsid w:val="00A00951"/>
    <w:rsid w:val="00A076F7"/>
    <w:rsid w:val="00A17DCB"/>
    <w:rsid w:val="00A236C6"/>
    <w:rsid w:val="00A2536F"/>
    <w:rsid w:val="00A32F73"/>
    <w:rsid w:val="00A33EAC"/>
    <w:rsid w:val="00A3471F"/>
    <w:rsid w:val="00A377CD"/>
    <w:rsid w:val="00A409E7"/>
    <w:rsid w:val="00A509F6"/>
    <w:rsid w:val="00A51FC1"/>
    <w:rsid w:val="00A650F3"/>
    <w:rsid w:val="00A67ACE"/>
    <w:rsid w:val="00A70A1E"/>
    <w:rsid w:val="00A71C6D"/>
    <w:rsid w:val="00A729D2"/>
    <w:rsid w:val="00A75191"/>
    <w:rsid w:val="00A86596"/>
    <w:rsid w:val="00A9139F"/>
    <w:rsid w:val="00A943EA"/>
    <w:rsid w:val="00A9555F"/>
    <w:rsid w:val="00AA137C"/>
    <w:rsid w:val="00AA254E"/>
    <w:rsid w:val="00AB1610"/>
    <w:rsid w:val="00AB1AFE"/>
    <w:rsid w:val="00AB373A"/>
    <w:rsid w:val="00AB4044"/>
    <w:rsid w:val="00AC20A7"/>
    <w:rsid w:val="00AD14CA"/>
    <w:rsid w:val="00AD3434"/>
    <w:rsid w:val="00AD38FA"/>
    <w:rsid w:val="00AF06E1"/>
    <w:rsid w:val="00AF1970"/>
    <w:rsid w:val="00AF3552"/>
    <w:rsid w:val="00AF664F"/>
    <w:rsid w:val="00B00901"/>
    <w:rsid w:val="00B00F1D"/>
    <w:rsid w:val="00B013FF"/>
    <w:rsid w:val="00B03C65"/>
    <w:rsid w:val="00B15065"/>
    <w:rsid w:val="00B15AD0"/>
    <w:rsid w:val="00B168D5"/>
    <w:rsid w:val="00B17CB6"/>
    <w:rsid w:val="00B21E37"/>
    <w:rsid w:val="00B24B0B"/>
    <w:rsid w:val="00B30890"/>
    <w:rsid w:val="00B35EAB"/>
    <w:rsid w:val="00B363A2"/>
    <w:rsid w:val="00B36D9D"/>
    <w:rsid w:val="00B419DA"/>
    <w:rsid w:val="00B44694"/>
    <w:rsid w:val="00B50EE0"/>
    <w:rsid w:val="00B5414C"/>
    <w:rsid w:val="00B55AAE"/>
    <w:rsid w:val="00B55C1C"/>
    <w:rsid w:val="00B613AC"/>
    <w:rsid w:val="00B62DD6"/>
    <w:rsid w:val="00B63FF2"/>
    <w:rsid w:val="00B672AE"/>
    <w:rsid w:val="00B7203C"/>
    <w:rsid w:val="00B73C5A"/>
    <w:rsid w:val="00B73CF8"/>
    <w:rsid w:val="00B74E37"/>
    <w:rsid w:val="00B84669"/>
    <w:rsid w:val="00B874B0"/>
    <w:rsid w:val="00B8781B"/>
    <w:rsid w:val="00B92FEC"/>
    <w:rsid w:val="00B95D08"/>
    <w:rsid w:val="00B96065"/>
    <w:rsid w:val="00B96420"/>
    <w:rsid w:val="00BA08B8"/>
    <w:rsid w:val="00BA1272"/>
    <w:rsid w:val="00BB5D55"/>
    <w:rsid w:val="00BB7E60"/>
    <w:rsid w:val="00BC5428"/>
    <w:rsid w:val="00BC681F"/>
    <w:rsid w:val="00BC6901"/>
    <w:rsid w:val="00BC792A"/>
    <w:rsid w:val="00BD0408"/>
    <w:rsid w:val="00BD1D01"/>
    <w:rsid w:val="00BD3080"/>
    <w:rsid w:val="00BD3917"/>
    <w:rsid w:val="00BD44E1"/>
    <w:rsid w:val="00BD7B76"/>
    <w:rsid w:val="00BE1E95"/>
    <w:rsid w:val="00BE246A"/>
    <w:rsid w:val="00BF2477"/>
    <w:rsid w:val="00C02678"/>
    <w:rsid w:val="00C03083"/>
    <w:rsid w:val="00C03FCD"/>
    <w:rsid w:val="00C052A7"/>
    <w:rsid w:val="00C05E0B"/>
    <w:rsid w:val="00C15A23"/>
    <w:rsid w:val="00C23424"/>
    <w:rsid w:val="00C238B8"/>
    <w:rsid w:val="00C32317"/>
    <w:rsid w:val="00C33AD2"/>
    <w:rsid w:val="00C33ED1"/>
    <w:rsid w:val="00C34F07"/>
    <w:rsid w:val="00C3676B"/>
    <w:rsid w:val="00C40BFC"/>
    <w:rsid w:val="00C548E9"/>
    <w:rsid w:val="00C57A00"/>
    <w:rsid w:val="00C619F3"/>
    <w:rsid w:val="00C66967"/>
    <w:rsid w:val="00C721FA"/>
    <w:rsid w:val="00C72AE6"/>
    <w:rsid w:val="00C733C6"/>
    <w:rsid w:val="00C83507"/>
    <w:rsid w:val="00C87EA0"/>
    <w:rsid w:val="00C93A94"/>
    <w:rsid w:val="00C961B9"/>
    <w:rsid w:val="00CB0204"/>
    <w:rsid w:val="00CB34E9"/>
    <w:rsid w:val="00CB64E1"/>
    <w:rsid w:val="00CC03BE"/>
    <w:rsid w:val="00CC4866"/>
    <w:rsid w:val="00CC5F3F"/>
    <w:rsid w:val="00CD4559"/>
    <w:rsid w:val="00CE1E9A"/>
    <w:rsid w:val="00CE7B05"/>
    <w:rsid w:val="00CF044D"/>
    <w:rsid w:val="00CF15DE"/>
    <w:rsid w:val="00CF1FBF"/>
    <w:rsid w:val="00CF4775"/>
    <w:rsid w:val="00D0366B"/>
    <w:rsid w:val="00D043FC"/>
    <w:rsid w:val="00D0769C"/>
    <w:rsid w:val="00D103CA"/>
    <w:rsid w:val="00D25267"/>
    <w:rsid w:val="00D30A05"/>
    <w:rsid w:val="00D32D6E"/>
    <w:rsid w:val="00D35C33"/>
    <w:rsid w:val="00D36300"/>
    <w:rsid w:val="00D53B78"/>
    <w:rsid w:val="00D541FC"/>
    <w:rsid w:val="00D557FA"/>
    <w:rsid w:val="00D63424"/>
    <w:rsid w:val="00D705C7"/>
    <w:rsid w:val="00D71720"/>
    <w:rsid w:val="00D72598"/>
    <w:rsid w:val="00D73471"/>
    <w:rsid w:val="00D77B54"/>
    <w:rsid w:val="00D8057F"/>
    <w:rsid w:val="00D83049"/>
    <w:rsid w:val="00D868D7"/>
    <w:rsid w:val="00D86ED7"/>
    <w:rsid w:val="00D90B52"/>
    <w:rsid w:val="00DA04BF"/>
    <w:rsid w:val="00DA266C"/>
    <w:rsid w:val="00DA4072"/>
    <w:rsid w:val="00DB2D66"/>
    <w:rsid w:val="00DB398E"/>
    <w:rsid w:val="00DB7C38"/>
    <w:rsid w:val="00DD4275"/>
    <w:rsid w:val="00DE76F3"/>
    <w:rsid w:val="00DF143F"/>
    <w:rsid w:val="00DF174C"/>
    <w:rsid w:val="00E006DC"/>
    <w:rsid w:val="00E049C9"/>
    <w:rsid w:val="00E118D9"/>
    <w:rsid w:val="00E1224D"/>
    <w:rsid w:val="00E125B0"/>
    <w:rsid w:val="00E23839"/>
    <w:rsid w:val="00E268F8"/>
    <w:rsid w:val="00E26904"/>
    <w:rsid w:val="00E3261B"/>
    <w:rsid w:val="00E436E8"/>
    <w:rsid w:val="00E44D3A"/>
    <w:rsid w:val="00E4531C"/>
    <w:rsid w:val="00E51B11"/>
    <w:rsid w:val="00E5410F"/>
    <w:rsid w:val="00E561FA"/>
    <w:rsid w:val="00E56C11"/>
    <w:rsid w:val="00E6151C"/>
    <w:rsid w:val="00E65072"/>
    <w:rsid w:val="00E83FF7"/>
    <w:rsid w:val="00E862D6"/>
    <w:rsid w:val="00E864DF"/>
    <w:rsid w:val="00E8660F"/>
    <w:rsid w:val="00E91234"/>
    <w:rsid w:val="00E912A5"/>
    <w:rsid w:val="00EA07CA"/>
    <w:rsid w:val="00EA13F8"/>
    <w:rsid w:val="00EA5A10"/>
    <w:rsid w:val="00EB4343"/>
    <w:rsid w:val="00EB5D9A"/>
    <w:rsid w:val="00ED241A"/>
    <w:rsid w:val="00ED3E5B"/>
    <w:rsid w:val="00ED7BAA"/>
    <w:rsid w:val="00EE2117"/>
    <w:rsid w:val="00EE49F3"/>
    <w:rsid w:val="00EF1C87"/>
    <w:rsid w:val="00F052C1"/>
    <w:rsid w:val="00F1049E"/>
    <w:rsid w:val="00F15CED"/>
    <w:rsid w:val="00F27492"/>
    <w:rsid w:val="00F32810"/>
    <w:rsid w:val="00F335E5"/>
    <w:rsid w:val="00F355A9"/>
    <w:rsid w:val="00F355FD"/>
    <w:rsid w:val="00F43181"/>
    <w:rsid w:val="00F5033D"/>
    <w:rsid w:val="00F51E4F"/>
    <w:rsid w:val="00F56A07"/>
    <w:rsid w:val="00F60F58"/>
    <w:rsid w:val="00F61B5F"/>
    <w:rsid w:val="00F6541E"/>
    <w:rsid w:val="00F702AB"/>
    <w:rsid w:val="00F7313A"/>
    <w:rsid w:val="00F75ED4"/>
    <w:rsid w:val="00F81AD6"/>
    <w:rsid w:val="00F91149"/>
    <w:rsid w:val="00F95CFD"/>
    <w:rsid w:val="00FA03B5"/>
    <w:rsid w:val="00FA2343"/>
    <w:rsid w:val="00FA3F38"/>
    <w:rsid w:val="00FA6844"/>
    <w:rsid w:val="00FB3EB9"/>
    <w:rsid w:val="00FB5D38"/>
    <w:rsid w:val="00FB61A9"/>
    <w:rsid w:val="00FC11DD"/>
    <w:rsid w:val="00FC2170"/>
    <w:rsid w:val="00FC4460"/>
    <w:rsid w:val="00FC6491"/>
    <w:rsid w:val="00FD0074"/>
    <w:rsid w:val="00FD36B8"/>
    <w:rsid w:val="00FD5361"/>
    <w:rsid w:val="00FD6B92"/>
    <w:rsid w:val="00FD6CFC"/>
    <w:rsid w:val="00FE01DA"/>
    <w:rsid w:val="00FE088A"/>
    <w:rsid w:val="00FE4DE5"/>
    <w:rsid w:val="00FF3B94"/>
    <w:rsid w:val="00FF4FCC"/>
    <w:rsid w:val="16EF57A9"/>
    <w:rsid w:val="1EA2C8D8"/>
    <w:rsid w:val="1EA648E3"/>
    <w:rsid w:val="24EB6DF8"/>
    <w:rsid w:val="34598454"/>
    <w:rsid w:val="35FFEBB2"/>
    <w:rsid w:val="4DF1303D"/>
    <w:rsid w:val="5220AF7C"/>
    <w:rsid w:val="6C64D7C7"/>
    <w:rsid w:val="729E1822"/>
  </w:rsids>
  <w:docVars>
    <w:docVar w:name="AP Job Title" w:val="Not Assigned"/>
    <w:docVar w:name="AP_Job_Title" w:val="Not Assigned"/>
    <w:docVar w:name="Date Approved" w:val="05/07/2024"/>
    <w:docVar w:name="Date_Approved" w:val="05/07/2024"/>
    <w:docVar w:name="Document Title" w:val="New Employee Orientation and Onboarding -0201- Procedure"/>
    <w:docVar w:name="Document_Title" w:val="New Employee Orientation and Onboarding -0201- Procedure"/>
    <w:docVar w:name="Last Periodic Review Date" w:val="05/07/2024"/>
    <w:docVar w:name="Last_Periodic_Review_Date" w:val="05/07/2024"/>
    <w:docVar w:name="Original Creation Date" w:val="Not Set"/>
    <w:docVar w:name="Original_Creation_Date" w:val="No Original Creation Date Set"/>
    <w:docVar w:name="PO Both" w:val="Audrey King"/>
    <w:docVar w:name="PO_Both" w:val="Audrey King"/>
    <w:docVar w:name="WR Both" w:val="Danielle Scavone, Erica Rocco, Julie Holub, Kacey Richards, Manuel Avedissian, Rebecca Lilian, Theresa Goddard"/>
    <w:docVar w:name="WR Department" w:val="MEDCCI Yale Center for Clinical Investigation (YCCI)"/>
    <w:docVar w:name="WR_Both" w:val="Danielle Scavone, Erica Rocco, Julie Holub, Kacey Richards, Manuel Avedissian, Rebecca Lilian, Theresa Goddard"/>
    <w:docVar w:name="WR_Department" w:val="MEDCCI Yale Center for Clinical Investigation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uiPriority w:val="99"/>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581A05"/>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581A05"/>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581A05"/>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581A05"/>
    <w:rPr>
      <w:rFonts w:ascii="Arial" w:hAnsi="Arial"/>
      <w:b/>
      <w:sz w:val="24"/>
    </w:rPr>
  </w:style>
  <w:style w:type="character" w:customStyle="1" w:styleId="ListParagraphChar">
    <w:name w:val="List Paragraph Char"/>
    <w:basedOn w:val="DefaultParagraphFont"/>
    <w:link w:val="ListParagraph"/>
    <w:uiPriority w:val="34"/>
    <w:rsid w:val="007D72D8"/>
    <w:rPr>
      <w:rFonts w:ascii="Arial" w:hAnsi="Arial"/>
    </w:rPr>
  </w:style>
  <w:style w:type="paragraph" w:styleId="Revision">
    <w:name w:val="Revision"/>
    <w:hidden/>
    <w:uiPriority w:val="99"/>
    <w:semiHidden/>
    <w:rsid w:val="001B03F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mailto:ycci.sop@yale.edu" TargetMode="External" /><Relationship Id="rId19" Type="http://schemas.openxmlformats.org/officeDocument/2006/relationships/hyperlink" Target="https://ichgcp.net/8-essential-documents-for-the-conduct-of-a-clinical-trial/" TargetMode="External" /><Relationship Id="rId2" Type="http://schemas.openxmlformats.org/officeDocument/2006/relationships/webSettings" Target="webSettings.xml" /><Relationship Id="rId20" Type="http://schemas.openxmlformats.org/officeDocument/2006/relationships/hyperlink" Target="https://ires-irb.yale.edu/IRB-PROD/sd/Doc/0/LKB4QH51EC8UR3S11KSPCLIG00/Investigator%20Manual.pdf" TargetMode="External" /><Relationship Id="rId21" Type="http://schemas.openxmlformats.org/officeDocument/2006/relationships/hyperlink" Target="https://your.yale.edu/policies-procedures/policies/1010-training-and-other-requirements" TargetMode="External" /><Relationship Id="rId22" Type="http://schemas.openxmlformats.org/officeDocument/2006/relationships/header" Target="header6.xml" /><Relationship Id="rId23" Type="http://schemas.openxmlformats.org/officeDocument/2006/relationships/header" Target="header7.xml" /><Relationship Id="rId24" Type="http://schemas.openxmlformats.org/officeDocument/2006/relationships/footer" Target="footer6.xml" /><Relationship Id="rId25" Type="http://schemas.openxmlformats.org/officeDocument/2006/relationships/footer" Target="footer7.xml" /><Relationship Id="rId26" Type="http://schemas.openxmlformats.org/officeDocument/2006/relationships/header" Target="header8.xml" /><Relationship Id="rId27" Type="http://schemas.openxmlformats.org/officeDocument/2006/relationships/footer" Target="footer8.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18" ma:contentTypeDescription="Create a new document." ma:contentTypeScope="" ma:versionID="b96821bc4cdd25d305957eaebeb9ca31">
  <xsd:schema xmlns:xsd="http://www.w3.org/2001/XMLSchema" xmlns:xs="http://www.w3.org/2001/XMLSchema" xmlns:p="http://schemas.microsoft.com/office/2006/metadata/properties" xmlns:ns3="1aee6640-b68b-4345-bc24-1478e36f51a8" xmlns:ns4="0409d6ed-544a-4b53-be69-2d1979dc93d4" targetNamespace="http://schemas.microsoft.com/office/2006/metadata/properties" ma:root="true" ma:fieldsID="60ea763991aee1a286dfa673e108d3c8" ns3:_="" ns4:_="">
    <xsd:import namespace="1aee6640-b68b-4345-bc24-1478e36f51a8"/>
    <xsd:import namespace="0409d6ed-544a-4b53-be69-2d1979dc93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d6ed-544a-4b53-be69-2d1979dc93d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409d6ed-544a-4b53-be69-2d1979dc93d4">
      <UserInfo>
        <DisplayName>Berry, JAMIE</DisplayName>
        <AccountId>92</AccountId>
        <AccountType/>
      </UserInfo>
    </SharedWithUsers>
    <_activity xmlns="1aee6640-b68b-4345-bc24-1478e36f51a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45A36-E853-4951-B6AC-27B192BFB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e6640-b68b-4345-bc24-1478e36f51a8"/>
    <ds:schemaRef ds:uri="0409d6ed-544a-4b53-be69-2d1979dc9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3.xml><?xml version="1.0" encoding="utf-8"?>
<ds:datastoreItem xmlns:ds="http://schemas.openxmlformats.org/officeDocument/2006/customXml" ds:itemID="{03079C46-E179-45A6-A6B2-6C0ACAAF2878}">
  <ds:schemaRefs>
    <ds:schemaRef ds:uri="0409d6ed-544a-4b53-be69-2d1979dc93d4"/>
    <ds:schemaRef ds:uri="http://purl.org/dc/terms/"/>
    <ds:schemaRef ds:uri="1aee6640-b68b-4345-bc24-1478e36f51a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New Employee Orientation and Onboarding -0201- Procedure</dc:title>
  <dc:creator>Jarosz, Michael</dc:creator>
  <lastModifiedBy>Audrey King</lastModifiedBy>
  <revision>14</revision>
  <lastPrinted>2015-08-17T19:38:00.0000000Z</lastPrinted>
  <dcterms:created xsi:type="dcterms:W3CDTF">2024-04-16T15:57:00.0000000Z</dcterms:created>
  <dcterms:modified xsi:type="dcterms:W3CDTF">2026-02-04T20:36:59.0000000Z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ies>
</file>