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644FC8" w:rsidP="000368C8" w14:paraId="18E91E91" w14:textId="765FF8D1">
      <w:pPr>
        <w:spacing w:after="766" w:line="259" w:lineRule="auto"/>
        <w:ind w:left="0" w:firstLine="0"/>
      </w:pPr>
      <w:r>
        <w:t xml:space="preserve">Timely, supportive, and transparent communication with patients is an essential component of exceptional health care. Yale Medicine (YM) recognizes that patients have the right to information of unanticipated events that have the potential to impact their </w:t>
      </w:r>
      <w:r>
        <w:t xml:space="preserve">health status.  YM and Yale New Haven Health have collaborated to establish a program for the disclosure of adverse outcomes and events of harm, and this is referred to as </w:t>
      </w:r>
      <w:r>
        <w:rPr>
          <w:b/>
        </w:rPr>
        <w:t>CLEAR</w:t>
      </w:r>
      <w:r>
        <w:t xml:space="preserve"> (Communication Leads to Early Resolution)</w:t>
      </w:r>
      <w:r>
        <w:rPr>
          <w:rFonts w:ascii="Times New Roman" w:eastAsia="Times New Roman" w:hAnsi="Times New Roman" w:cs="Times New Roman"/>
        </w:rPr>
        <w:t xml:space="preserve">. </w:t>
      </w:r>
      <w:r>
        <w:t>The CLEAR program has trained coach</w:t>
      </w:r>
      <w:r>
        <w:t>es to assist you in the preparation of a disclosure conversation and requesting assistance with a CLEAR disclosure can be made anytime of the day or night.</w:t>
      </w:r>
      <w:r>
        <w:rPr>
          <w:rFonts w:ascii="Times New Roman" w:eastAsia="Times New Roman" w:hAnsi="Times New Roman" w:cs="Times New Roman"/>
          <w:color w:val="1F497D"/>
        </w:rPr>
        <w:t xml:space="preserve">  </w:t>
      </w:r>
      <w:r>
        <w:t>The following guidelines include many of the elements from the CLEAR program, which have been desig</w:t>
      </w:r>
      <w:r>
        <w:t>ned to assist you in communicating with patients when an adverse outcome and event of harm has occurred in either the inpatient or ambulatory settings.  Families would only be included in the discussion to the extent that the patient has agreed to their pa</w:t>
      </w:r>
      <w:r>
        <w:t xml:space="preserve">rticipating in the discussion (can be verbal) or if they qualify as the patient’s legally authorized representative as defined under state law (see also HIPAA Policy on personal representatives, </w:t>
      </w:r>
      <w:hyperlink r:id="rId9">
        <w:r>
          <w:rPr>
            <w:color w:val="0000FF"/>
            <w:u w:val="single" w:color="0000FF"/>
          </w:rPr>
          <w:t>http://hipaa.yale.edu/sites/default/files/files/5038-PR.pdf</w:t>
        </w:r>
      </w:hyperlink>
      <w:hyperlink r:id="rId10">
        <w:r>
          <w:t>.</w:t>
        </w:r>
      </w:hyperlink>
      <w:r>
        <w:t xml:space="preserve"> </w:t>
      </w:r>
    </w:p>
    <w:p w:rsidR="00644FC8" w14:paraId="4246581F" w14:textId="77777777">
      <w:pPr>
        <w:pStyle w:val="Heading1"/>
        <w:ind w:left="-5"/>
      </w:pPr>
      <w:r>
        <w:rPr>
          <w:b w:val="0"/>
        </w:rPr>
        <w:t>A.</w:t>
      </w:r>
      <w:r>
        <w:rPr>
          <w:rFonts w:ascii="Arial" w:eastAsia="Arial" w:hAnsi="Arial" w:cs="Arial"/>
          <w:b w:val="0"/>
        </w:rPr>
        <w:t xml:space="preserve"> </w:t>
      </w:r>
      <w:r>
        <w:t xml:space="preserve">General Guidelines for </w:t>
      </w:r>
      <w:r>
        <w:t>Disclosure</w:t>
      </w:r>
      <w:r>
        <w:t xml:space="preserve"> </w:t>
      </w:r>
      <w:r>
        <w:rPr>
          <w:b w:val="0"/>
        </w:rPr>
        <w:t xml:space="preserve"> </w:t>
      </w:r>
    </w:p>
    <w:p w:rsidR="00644FC8" w14:paraId="1FAF86FD" w14:textId="77777777">
      <w:pPr>
        <w:numPr>
          <w:ilvl w:val="0"/>
          <w:numId w:val="1"/>
        </w:numPr>
        <w:ind w:right="30" w:hanging="360"/>
      </w:pPr>
      <w:r>
        <w:t xml:space="preserve">Disclosure is a process, not a distinct event, and begins with assessing when the patient’s medical and emotional condition permits the initial discussion of an unexpected outcome or medical error.   </w:t>
      </w:r>
    </w:p>
    <w:p w:rsidR="00644FC8" w14:paraId="2BDA56B4" w14:textId="77777777">
      <w:pPr>
        <w:numPr>
          <w:ilvl w:val="0"/>
          <w:numId w:val="1"/>
        </w:numPr>
        <w:ind w:right="30" w:hanging="360"/>
      </w:pPr>
      <w:r>
        <w:t>Serious safety events and incidents causin</w:t>
      </w:r>
      <w:r>
        <w:t xml:space="preserve">g patient harm (refer to section F for more information) need to be disclosed. </w:t>
      </w:r>
    </w:p>
    <w:p w:rsidR="00644FC8" w14:paraId="723CF31B" w14:textId="77777777">
      <w:pPr>
        <w:numPr>
          <w:ilvl w:val="0"/>
          <w:numId w:val="1"/>
        </w:numPr>
        <w:ind w:right="30" w:hanging="360"/>
      </w:pPr>
      <w:r>
        <w:t xml:space="preserve">Disclosure of safety events that do not cause patient harm is at the discretion of the attending physician.   </w:t>
      </w:r>
    </w:p>
    <w:p w:rsidR="00644FC8" w14:paraId="27474A19" w14:textId="77777777">
      <w:pPr>
        <w:numPr>
          <w:ilvl w:val="0"/>
          <w:numId w:val="1"/>
        </w:numPr>
        <w:ind w:right="30" w:hanging="360"/>
      </w:pPr>
      <w:r>
        <w:t>Every physician is responsible for disclosing safety events for w</w:t>
      </w:r>
      <w:r>
        <w:t xml:space="preserve">hich they are personally responsible.  Physicians should not disclose safety events or perceived errors made by other caregivers without involving those caregivers in the disclosure process.  </w:t>
      </w:r>
    </w:p>
    <w:p w:rsidR="00644FC8" w14:paraId="74F25B26" w14:textId="77777777">
      <w:pPr>
        <w:spacing w:after="122" w:line="259" w:lineRule="auto"/>
        <w:ind w:left="0" w:firstLine="0"/>
      </w:pPr>
      <w:r>
        <w:rPr>
          <w:sz w:val="10"/>
        </w:rPr>
        <w:t xml:space="preserve"> </w:t>
      </w:r>
    </w:p>
    <w:p w:rsidR="00644FC8" w14:paraId="109FB83E" w14:textId="77777777">
      <w:pPr>
        <w:spacing w:after="0" w:line="241" w:lineRule="auto"/>
        <w:ind w:left="0" w:firstLine="0"/>
      </w:pPr>
      <w:r>
        <w:rPr>
          <w:b/>
          <w:color w:val="FF0000"/>
        </w:rPr>
        <w:t>Serious safety events for both inpatient and ambulatory locat</w:t>
      </w:r>
      <w:r>
        <w:rPr>
          <w:b/>
          <w:color w:val="FF0000"/>
        </w:rPr>
        <w:t xml:space="preserve">ions must be reported to the Yale New Haven Health Legal &amp; Risk Services Department (LRSD) by the next business day.  This can be facilitated by calling (203) 688-2291 or by initiating the CLEAR disclosure process at </w:t>
      </w:r>
      <w:r>
        <w:rPr>
          <w:b/>
          <w:color w:val="FF0000"/>
          <w:sz w:val="22"/>
        </w:rPr>
        <w:t>475-246-TALK (8255).</w:t>
      </w:r>
      <w:r>
        <w:rPr>
          <w:rFonts w:ascii="Times New Roman" w:eastAsia="Times New Roman" w:hAnsi="Times New Roman" w:cs="Times New Roman"/>
          <w:b/>
          <w:color w:val="FF0000"/>
        </w:rPr>
        <w:t xml:space="preserve"> </w:t>
      </w:r>
    </w:p>
    <w:p w:rsidR="00644FC8" w14:paraId="5A6BEAAE" w14:textId="77777777">
      <w:pPr>
        <w:spacing w:after="20" w:line="259" w:lineRule="auto"/>
        <w:ind w:left="1080" w:firstLine="0"/>
      </w:pPr>
      <w:r>
        <w:t xml:space="preserve"> </w:t>
      </w:r>
    </w:p>
    <w:p w:rsidR="00644FC8" w14:paraId="7916EBFA" w14:textId="77777777">
      <w:pPr>
        <w:pStyle w:val="Heading1"/>
        <w:ind w:left="-5"/>
      </w:pPr>
      <w:r>
        <w:rPr>
          <w:b w:val="0"/>
        </w:rPr>
        <w:t>B.</w:t>
      </w:r>
      <w:r>
        <w:rPr>
          <w:rFonts w:ascii="Arial" w:eastAsia="Arial" w:hAnsi="Arial" w:cs="Arial"/>
          <w:b w:val="0"/>
        </w:rPr>
        <w:t xml:space="preserve"> </w:t>
      </w:r>
      <w:r>
        <w:t>Legal &amp; Risk</w:t>
      </w:r>
      <w:r>
        <w:t xml:space="preserve"> Services Department (LRSD) – Available for assistance 24/7 at 203-688-2291</w:t>
      </w:r>
      <w:r>
        <w:rPr>
          <w:b w:val="0"/>
        </w:rPr>
        <w:t xml:space="preserve"> </w:t>
      </w:r>
    </w:p>
    <w:p w:rsidR="00644FC8" w14:paraId="7F67BCB1" w14:textId="77777777">
      <w:pPr>
        <w:numPr>
          <w:ilvl w:val="0"/>
          <w:numId w:val="2"/>
        </w:numPr>
        <w:ind w:right="30" w:hanging="360"/>
      </w:pPr>
      <w:r>
        <w:t>Physicians should call CLEAR (475-246-TALK (8255)) or LRSD for assistance before disclosing either an inpatient or ambulatory event to a patient and/or family member, or if they h</w:t>
      </w:r>
      <w:r>
        <w:t xml:space="preserve">ave any questions about the disclosure process. </w:t>
      </w:r>
    </w:p>
    <w:p w:rsidR="00644FC8" w14:paraId="49BEE1A3" w14:textId="77777777">
      <w:pPr>
        <w:numPr>
          <w:ilvl w:val="0"/>
          <w:numId w:val="2"/>
        </w:numPr>
        <w:ind w:right="30" w:hanging="360"/>
      </w:pPr>
      <w:r>
        <w:t xml:space="preserve">Trained CLEAR disclosure coaches will be made available to facilitate a successful disclosure conversation by contacting 475-246-TALK (8255). To see the process flow for CLEAR, please refer to the Appendix. </w:t>
      </w:r>
    </w:p>
    <w:p w:rsidR="00644FC8" w14:paraId="3AE3167D" w14:textId="77777777">
      <w:pPr>
        <w:spacing w:after="20" w:line="259" w:lineRule="auto"/>
        <w:ind w:left="1080" w:firstLine="0"/>
      </w:pPr>
      <w:r>
        <w:t xml:space="preserve"> </w:t>
      </w:r>
    </w:p>
    <w:p w:rsidR="00644FC8" w14:paraId="34E27EF2" w14:textId="77777777">
      <w:pPr>
        <w:pStyle w:val="Heading1"/>
        <w:ind w:left="-5"/>
      </w:pPr>
      <w:r>
        <w:rPr>
          <w:b w:val="0"/>
        </w:rPr>
        <w:t>C.</w:t>
      </w:r>
      <w:r>
        <w:rPr>
          <w:rFonts w:ascii="Arial" w:eastAsia="Arial" w:hAnsi="Arial" w:cs="Arial"/>
          <w:b w:val="0"/>
        </w:rPr>
        <w:t xml:space="preserve"> </w:t>
      </w:r>
      <w:r>
        <w:t>Guidelines for Communication</w:t>
      </w:r>
      <w:r>
        <w:rPr>
          <w:b w:val="0"/>
        </w:rPr>
        <w:t xml:space="preserve"> </w:t>
      </w:r>
    </w:p>
    <w:p w:rsidR="00644FC8" w14:paraId="702CD2F7" w14:textId="77777777">
      <w:pPr>
        <w:spacing w:after="158"/>
        <w:ind w:left="1090" w:right="30"/>
      </w:pPr>
      <w:r>
        <w:t>1.</w:t>
      </w:r>
      <w:r>
        <w:rPr>
          <w:rFonts w:ascii="Arial" w:eastAsia="Arial" w:hAnsi="Arial" w:cs="Arial"/>
        </w:rPr>
        <w:t xml:space="preserve"> </w:t>
      </w:r>
      <w:r>
        <w:t xml:space="preserve">The attending physician, who has sought guidance from CLEAR and LSRD, should speak with the patient and family as soon as the patient is medically stable enough to understand and retain the information.   </w:t>
      </w:r>
    </w:p>
    <w:p w:rsidR="00644FC8" w14:paraId="7A4F08B1" w14:textId="616A6A13">
      <w:pPr>
        <w:spacing w:after="57" w:line="259" w:lineRule="auto"/>
        <w:ind w:left="0" w:firstLine="0"/>
      </w:pPr>
    </w:p>
    <w:p w:rsidR="00644FC8" w:rsidP="000368C8" w14:paraId="2CEB1857" w14:textId="6C3F9355">
      <w:pPr>
        <w:pStyle w:val="Heading1"/>
        <w:spacing w:after="0"/>
        <w:ind w:left="0" w:firstLine="0"/>
      </w:pPr>
      <w:r>
        <w:rPr>
          <w:sz w:val="28"/>
        </w:rPr>
        <w:t>Disclosure of Adverse Outcomes and Events of Ha</w:t>
      </w:r>
      <w:r>
        <w:rPr>
          <w:sz w:val="28"/>
        </w:rPr>
        <w:t>rm</w:t>
      </w:r>
      <w:r>
        <w:rPr>
          <w:sz w:val="28"/>
        </w:rPr>
        <w:t xml:space="preserve"> </w:t>
      </w:r>
    </w:p>
    <w:p w:rsidR="00644FC8" w14:paraId="52119EAA" w14:textId="77777777">
      <w:pPr>
        <w:numPr>
          <w:ilvl w:val="0"/>
          <w:numId w:val="3"/>
        </w:numPr>
        <w:ind w:right="30" w:hanging="360"/>
      </w:pPr>
      <w:r>
        <w:rPr>
          <w:b/>
          <w:i/>
        </w:rPr>
        <w:t>P</w:t>
      </w:r>
      <w:r>
        <w:rPr>
          <w:b/>
          <w:i/>
        </w:rPr>
        <w:t>atient Relations</w:t>
      </w:r>
      <w:r>
        <w:t xml:space="preserve"> should be included in the care team discussion, so they may provide support to the family during disclosure and post disclosure. </w:t>
      </w:r>
    </w:p>
    <w:p w:rsidR="00644FC8" w14:paraId="0900D087" w14:textId="77777777">
      <w:pPr>
        <w:numPr>
          <w:ilvl w:val="0"/>
          <w:numId w:val="3"/>
        </w:numPr>
        <w:ind w:right="30" w:hanging="360"/>
      </w:pPr>
      <w:r>
        <w:t>When possible, this conversation should include other members of the care team, including nurses, fell</w:t>
      </w:r>
      <w:r>
        <w:t xml:space="preserve">ows, and residents, but the responsible attending physician should lead the discussion.  Thought should be given as to the size of the team present for these conversations.  It is suggested that the attending physician, primary nurse and patient relations </w:t>
      </w:r>
      <w:r>
        <w:t xml:space="preserve">representative be present. </w:t>
      </w:r>
    </w:p>
    <w:p w:rsidR="00644FC8" w14:paraId="7F4C8CAD" w14:textId="77777777">
      <w:pPr>
        <w:numPr>
          <w:ilvl w:val="0"/>
          <w:numId w:val="3"/>
        </w:numPr>
        <w:ind w:right="30" w:hanging="360"/>
      </w:pPr>
      <w:r>
        <w:t>The members of the care team (e.g. attending physician, resident, fellow, nurses) should meet in advance to discuss the known facts and prepare to advise the patient (or patient guardian) and, when authorized, the patient’s fami</w:t>
      </w:r>
      <w:r>
        <w:t xml:space="preserve">ly. </w:t>
      </w:r>
    </w:p>
    <w:p w:rsidR="00644FC8" w14:paraId="36BDCD8C" w14:textId="77777777">
      <w:pPr>
        <w:numPr>
          <w:ilvl w:val="0"/>
          <w:numId w:val="3"/>
        </w:numPr>
        <w:ind w:right="30" w:hanging="360"/>
      </w:pPr>
      <w:r>
        <w:t xml:space="preserve">Prior to disclosure, the medical record should be reviewed to determine the “preferred language” for a patient’s health care discussions.  If an </w:t>
      </w:r>
      <w:r>
        <w:rPr>
          <w:b/>
          <w:i/>
        </w:rPr>
        <w:t xml:space="preserve">interpreter </w:t>
      </w:r>
      <w:r>
        <w:t>is required/needed, they should be considered as a member of the care team and should be inclu</w:t>
      </w:r>
      <w:r>
        <w:t xml:space="preserve">ded in the briefing prior to disclosure. </w:t>
      </w:r>
    </w:p>
    <w:p w:rsidR="00644FC8" w14:paraId="2A8341B6" w14:textId="77777777">
      <w:pPr>
        <w:numPr>
          <w:ilvl w:val="0"/>
          <w:numId w:val="4"/>
        </w:numPr>
        <w:ind w:right="30" w:hanging="360"/>
      </w:pPr>
      <w:r>
        <w:t>When initiating a conversation with the patient and/or family members, the attending physician should:</w:t>
      </w:r>
      <w:r>
        <w:rPr>
          <w:b/>
        </w:rPr>
        <w:t xml:space="preserve"> </w:t>
      </w:r>
    </w:p>
    <w:p w:rsidR="00644FC8" w14:paraId="087CB265" w14:textId="77777777">
      <w:pPr>
        <w:numPr>
          <w:ilvl w:val="1"/>
          <w:numId w:val="4"/>
        </w:numPr>
        <w:spacing w:after="0" w:line="277" w:lineRule="auto"/>
        <w:ind w:right="30" w:hanging="360"/>
      </w:pPr>
      <w:r>
        <w:t>Acknowledge that an unanticipated outcome has occurred. Acknowledging that an error has caused harm is only do</w:t>
      </w:r>
      <w:r>
        <w:t>ne when it is certain (shown by case review) that it has occurred.</w:t>
      </w:r>
      <w:r>
        <w:rPr>
          <w:b/>
        </w:rPr>
        <w:t xml:space="preserve"> </w:t>
      </w:r>
    </w:p>
    <w:p w:rsidR="00644FC8" w14:paraId="32D486E9" w14:textId="77777777">
      <w:pPr>
        <w:numPr>
          <w:ilvl w:val="1"/>
          <w:numId w:val="4"/>
        </w:numPr>
        <w:ind w:right="30" w:hanging="360"/>
      </w:pPr>
      <w:r>
        <w:t>Apologize that there has been an unexpected clinical outcome.</w:t>
      </w:r>
      <w:r>
        <w:rPr>
          <w:b/>
        </w:rPr>
        <w:t xml:space="preserve"> </w:t>
      </w:r>
    </w:p>
    <w:p w:rsidR="00644FC8" w14:paraId="1E4877A8" w14:textId="77777777">
      <w:pPr>
        <w:numPr>
          <w:ilvl w:val="1"/>
          <w:numId w:val="4"/>
        </w:numPr>
        <w:ind w:right="30" w:hanging="360"/>
      </w:pPr>
      <w:r>
        <w:t xml:space="preserve">Describe the nature of the event in a factual and compassionate manner.  </w:t>
      </w:r>
      <w:r>
        <w:rPr>
          <w:b/>
        </w:rPr>
        <w:t xml:space="preserve"> </w:t>
      </w:r>
    </w:p>
    <w:p w:rsidR="00644FC8" w14:paraId="5D2327CB" w14:textId="77777777">
      <w:pPr>
        <w:numPr>
          <w:ilvl w:val="1"/>
          <w:numId w:val="4"/>
        </w:numPr>
        <w:ind w:right="30" w:hanging="360"/>
      </w:pPr>
      <w:r>
        <w:t>Answer questions based upon the information that i</w:t>
      </w:r>
      <w:r>
        <w:t xml:space="preserve">s known at the time. </w:t>
      </w:r>
    </w:p>
    <w:p w:rsidR="00644FC8" w14:paraId="28BA86B1" w14:textId="77777777">
      <w:pPr>
        <w:numPr>
          <w:ilvl w:val="1"/>
          <w:numId w:val="4"/>
        </w:numPr>
        <w:ind w:right="30" w:hanging="360"/>
      </w:pPr>
      <w:r>
        <w:t xml:space="preserve">A commitment to review the case, provide follow up information and share what is learned should be made at the initial disclosure </w:t>
      </w:r>
    </w:p>
    <w:p w:rsidR="00644FC8" w14:paraId="16CDF604" w14:textId="77777777">
      <w:pPr>
        <w:numPr>
          <w:ilvl w:val="1"/>
          <w:numId w:val="4"/>
        </w:numPr>
        <w:ind w:right="30" w:hanging="360"/>
      </w:pPr>
      <w:r>
        <w:t>The disclosure conversation should also end with a reiteration of an apology and commitment to the patient/family of on-going</w:t>
      </w:r>
      <w:r>
        <w:t xml:space="preserve"> relationship. </w:t>
      </w:r>
    </w:p>
    <w:p w:rsidR="00644FC8" w14:paraId="7663B664" w14:textId="77777777">
      <w:pPr>
        <w:numPr>
          <w:ilvl w:val="0"/>
          <w:numId w:val="4"/>
        </w:numPr>
        <w:ind w:right="30" w:hanging="360"/>
      </w:pPr>
      <w:r>
        <w:t xml:space="preserve">Disclosure conversations should not include:  </w:t>
      </w:r>
    </w:p>
    <w:p w:rsidR="00644FC8" w14:paraId="6A590A58" w14:textId="77777777">
      <w:pPr>
        <w:numPr>
          <w:ilvl w:val="1"/>
          <w:numId w:val="4"/>
        </w:numPr>
        <w:ind w:right="30" w:hanging="360"/>
      </w:pPr>
      <w:r>
        <w:t xml:space="preserve">Speculation of the cause of the error.  Only facts should be reported. </w:t>
      </w:r>
    </w:p>
    <w:p w:rsidR="00644FC8" w14:paraId="74EEC116" w14:textId="77777777">
      <w:pPr>
        <w:numPr>
          <w:ilvl w:val="1"/>
          <w:numId w:val="4"/>
        </w:numPr>
        <w:ind w:right="30" w:hanging="360"/>
      </w:pPr>
      <w:r>
        <w:t xml:space="preserve">Claiming liability by saying, “I caused this problem” </w:t>
      </w:r>
    </w:p>
    <w:p w:rsidR="00644FC8" w14:paraId="06725125" w14:textId="77777777">
      <w:pPr>
        <w:numPr>
          <w:ilvl w:val="1"/>
          <w:numId w:val="4"/>
        </w:numPr>
        <w:ind w:right="30" w:hanging="360"/>
      </w:pPr>
      <w:r>
        <w:t xml:space="preserve">Criticizing the care or response of other providers  </w:t>
      </w:r>
    </w:p>
    <w:p w:rsidR="00644FC8" w14:paraId="6A9FBE7F" w14:textId="77777777">
      <w:pPr>
        <w:numPr>
          <w:ilvl w:val="1"/>
          <w:numId w:val="4"/>
        </w:numPr>
        <w:ind w:right="30" w:hanging="360"/>
      </w:pPr>
      <w:r>
        <w:t>Making excus</w:t>
      </w:r>
      <w:r>
        <w:t xml:space="preserve">es, being misleading, defensive or mysterious  </w:t>
      </w:r>
    </w:p>
    <w:p w:rsidR="00644FC8" w14:paraId="0D5C07F9" w14:textId="77777777">
      <w:pPr>
        <w:numPr>
          <w:ilvl w:val="1"/>
          <w:numId w:val="4"/>
        </w:numPr>
        <w:ind w:right="30" w:hanging="360"/>
      </w:pPr>
      <w:r>
        <w:t xml:space="preserve">Altering the medical record, or placing personal notes or comments in the record  </w:t>
      </w:r>
    </w:p>
    <w:p w:rsidR="00644FC8" w14:paraId="1EAA9C46" w14:textId="77777777">
      <w:pPr>
        <w:numPr>
          <w:ilvl w:val="1"/>
          <w:numId w:val="4"/>
        </w:numPr>
        <w:ind w:right="30" w:hanging="360"/>
      </w:pPr>
      <w:r>
        <w:t>Stating or implying causation or the reason why you believe the adverse outcome occurred unless causation is clear and unequi</w:t>
      </w:r>
      <w:r>
        <w:t xml:space="preserve">vocal </w:t>
      </w:r>
    </w:p>
    <w:p w:rsidR="00644FC8" w14:paraId="1239E17B" w14:textId="77777777">
      <w:pPr>
        <w:numPr>
          <w:ilvl w:val="0"/>
          <w:numId w:val="4"/>
        </w:numPr>
        <w:ind w:right="30" w:hanging="360"/>
      </w:pPr>
      <w:r>
        <w:t>If the cause of the serious safety event is uncertain, as it usually is initially, the physician should inform the patient and/or family that further investigation is necessary, and will occur, before the exact cause will be known.</w:t>
      </w:r>
      <w:r>
        <w:rPr>
          <w:b/>
        </w:rPr>
        <w:t xml:space="preserve"> </w:t>
      </w:r>
    </w:p>
    <w:p w:rsidR="00644FC8" w:rsidP="008517E5" w14:paraId="2EC651B0" w14:textId="6EF62878">
      <w:pPr>
        <w:numPr>
          <w:ilvl w:val="0"/>
          <w:numId w:val="4"/>
        </w:numPr>
        <w:spacing w:after="236"/>
        <w:ind w:right="30" w:hanging="360"/>
      </w:pPr>
      <w:r>
        <w:t>The physician sh</w:t>
      </w:r>
      <w:r>
        <w:t>ould plan to follow-up with the patient and family as to the results of any investigation undertaken and make that plan clear to the patient and family.</w:t>
      </w:r>
      <w:r>
        <w:rPr>
          <w:b/>
        </w:rPr>
        <w:t xml:space="preserve"> </w:t>
      </w:r>
      <w:r w:rsidRPr="008517E5" w:rsidR="008517E5">
        <w:rPr>
          <w:b/>
          <w:i/>
          <w:sz w:val="4"/>
        </w:rPr>
        <w:tab/>
      </w:r>
      <w:r w:rsidRPr="008517E5">
        <w:rPr>
          <w:b/>
          <w:i/>
          <w:sz w:val="4"/>
        </w:rPr>
        <w:t xml:space="preserve"> </w:t>
      </w:r>
    </w:p>
    <w:p w:rsidR="00644FC8" w14:paraId="0938A8F4" w14:textId="77777777">
      <w:pPr>
        <w:pStyle w:val="Heading2"/>
        <w:ind w:left="-5"/>
      </w:pPr>
      <w:r>
        <w:rPr>
          <w:b w:val="0"/>
        </w:rPr>
        <w:t>D.</w:t>
      </w:r>
      <w:r>
        <w:rPr>
          <w:rFonts w:ascii="Arial" w:eastAsia="Arial" w:hAnsi="Arial" w:cs="Arial"/>
          <w:b w:val="0"/>
        </w:rPr>
        <w:t xml:space="preserve"> </w:t>
      </w:r>
      <w:r>
        <w:t>Guidelines for Documentation</w:t>
      </w:r>
      <w:r>
        <w:t xml:space="preserve"> </w:t>
      </w:r>
    </w:p>
    <w:p w:rsidR="00644FC8" w14:paraId="5DB64E36" w14:textId="77777777">
      <w:pPr>
        <w:numPr>
          <w:ilvl w:val="0"/>
          <w:numId w:val="5"/>
        </w:numPr>
        <w:ind w:right="30" w:hanging="360"/>
      </w:pPr>
      <w:r>
        <w:t>The patient’s medical record should contain a complete, accurate an</w:t>
      </w:r>
      <w:r>
        <w:t xml:space="preserve">d factual record of pertinent clinical information related to the event and should be completed in a timely manner. The documentation should include: </w:t>
      </w:r>
      <w:r>
        <w:rPr>
          <w:b/>
        </w:rPr>
        <w:t xml:space="preserve"> </w:t>
      </w:r>
    </w:p>
    <w:p w:rsidR="00644FC8" w14:paraId="35E368F3" w14:textId="77777777">
      <w:pPr>
        <w:numPr>
          <w:ilvl w:val="1"/>
          <w:numId w:val="5"/>
        </w:numPr>
        <w:ind w:right="30" w:hanging="360"/>
      </w:pPr>
      <w:r>
        <w:t>Objective details of the event, including date, time and place (avoid hypothesizing, speculation or assi</w:t>
      </w:r>
      <w:r>
        <w:t xml:space="preserve">gnment of blame) </w:t>
      </w:r>
      <w:r>
        <w:rPr>
          <w:b/>
        </w:rPr>
        <w:t xml:space="preserve"> </w:t>
      </w:r>
    </w:p>
    <w:p w:rsidR="00644FC8" w14:paraId="703E0B5D" w14:textId="77777777">
      <w:pPr>
        <w:numPr>
          <w:ilvl w:val="1"/>
          <w:numId w:val="5"/>
        </w:numPr>
        <w:ind w:right="30" w:hanging="360"/>
      </w:pPr>
      <w:r>
        <w:t xml:space="preserve">The patient’s condition immediately before the time of the event </w:t>
      </w:r>
      <w:r>
        <w:rPr>
          <w:b/>
        </w:rPr>
        <w:t xml:space="preserve"> </w:t>
      </w:r>
    </w:p>
    <w:p w:rsidR="00644FC8" w14:paraId="1746EDDE" w14:textId="77777777">
      <w:pPr>
        <w:numPr>
          <w:ilvl w:val="1"/>
          <w:numId w:val="5"/>
        </w:numPr>
        <w:ind w:right="30" w:hanging="360"/>
      </w:pPr>
      <w:r>
        <w:t xml:space="preserve">Medical intervention following the event including studies ordered, therapies initiated, medications ordered and requested consultations </w:t>
      </w:r>
      <w:r>
        <w:rPr>
          <w:b/>
        </w:rPr>
        <w:t xml:space="preserve"> </w:t>
      </w:r>
    </w:p>
    <w:p w:rsidR="00644FC8" w14:paraId="17201386" w14:textId="77777777">
      <w:pPr>
        <w:numPr>
          <w:ilvl w:val="1"/>
          <w:numId w:val="5"/>
        </w:numPr>
        <w:ind w:right="30" w:hanging="360"/>
      </w:pPr>
      <w:r>
        <w:t xml:space="preserve">Patient’s response to medical intervention </w:t>
      </w:r>
      <w:r>
        <w:rPr>
          <w:b/>
        </w:rPr>
        <w:t xml:space="preserve"> </w:t>
      </w:r>
    </w:p>
    <w:p w:rsidR="00644FC8" w14:paraId="4499C629" w14:textId="77777777">
      <w:pPr>
        <w:numPr>
          <w:ilvl w:val="1"/>
          <w:numId w:val="5"/>
        </w:numPr>
        <w:ind w:right="30" w:hanging="360"/>
      </w:pPr>
      <w:r>
        <w:t xml:space="preserve">Future treatment plans </w:t>
      </w:r>
      <w:r>
        <w:rPr>
          <w:b/>
        </w:rPr>
        <w:t xml:space="preserve"> </w:t>
      </w:r>
    </w:p>
    <w:p w:rsidR="00644FC8" w14:paraId="5A53DB80" w14:textId="77777777">
      <w:pPr>
        <w:numPr>
          <w:ilvl w:val="1"/>
          <w:numId w:val="5"/>
        </w:numPr>
        <w:ind w:right="30" w:hanging="360"/>
      </w:pPr>
      <w:r>
        <w:t>Documentation of disclosure conversation.</w:t>
      </w:r>
      <w:r>
        <w:rPr>
          <w:b/>
        </w:rPr>
        <w:t xml:space="preserve"> </w:t>
      </w:r>
    </w:p>
    <w:p w:rsidR="00644FC8" w14:paraId="5E1897B6" w14:textId="77777777">
      <w:pPr>
        <w:numPr>
          <w:ilvl w:val="0"/>
          <w:numId w:val="5"/>
        </w:numPr>
        <w:ind w:right="30" w:hanging="360"/>
      </w:pPr>
      <w:r>
        <w:t>The medical record documentation regarding the disclosure discussion should include the following</w:t>
      </w:r>
      <w:r>
        <w:rPr>
          <w:b/>
        </w:rPr>
        <w:t xml:space="preserve">: </w:t>
      </w:r>
      <w:r>
        <w:t>a.</w:t>
      </w:r>
      <w:r>
        <w:rPr>
          <w:rFonts w:ascii="Arial" w:eastAsia="Arial" w:hAnsi="Arial" w:cs="Arial"/>
        </w:rPr>
        <w:t xml:space="preserve"> </w:t>
      </w:r>
      <w:r>
        <w:t xml:space="preserve">Time, date and place of discussion </w:t>
      </w:r>
      <w:r>
        <w:rPr>
          <w:b/>
        </w:rPr>
        <w:t xml:space="preserve"> </w:t>
      </w:r>
    </w:p>
    <w:p w:rsidR="00644FC8" w14:paraId="708115A1" w14:textId="77777777">
      <w:pPr>
        <w:numPr>
          <w:ilvl w:val="1"/>
          <w:numId w:val="6"/>
        </w:numPr>
        <w:ind w:right="30" w:hanging="360"/>
      </w:pPr>
      <w:r>
        <w:t xml:space="preserve">Names and relationships of those present at the discussion </w:t>
      </w:r>
      <w:r>
        <w:rPr>
          <w:b/>
        </w:rPr>
        <w:t xml:space="preserve"> </w:t>
      </w:r>
    </w:p>
    <w:p w:rsidR="00644FC8" w14:paraId="2327ACA3" w14:textId="77777777">
      <w:pPr>
        <w:numPr>
          <w:ilvl w:val="1"/>
          <w:numId w:val="6"/>
        </w:numPr>
        <w:ind w:right="30" w:hanging="360"/>
      </w:pPr>
      <w:r>
        <w:t xml:space="preserve">Facts pertaining to the discussion of the event </w:t>
      </w:r>
      <w:r>
        <w:rPr>
          <w:b/>
        </w:rPr>
        <w:t xml:space="preserve"> </w:t>
      </w:r>
    </w:p>
    <w:p w:rsidR="00644FC8" w14:paraId="4416B977" w14:textId="77777777">
      <w:pPr>
        <w:numPr>
          <w:ilvl w:val="1"/>
          <w:numId w:val="6"/>
        </w:numPr>
        <w:ind w:right="30" w:hanging="360"/>
      </w:pPr>
      <w:r>
        <w:t xml:space="preserve">Patient and/or family response </w:t>
      </w:r>
      <w:r>
        <w:rPr>
          <w:b/>
        </w:rPr>
        <w:t xml:space="preserve"> </w:t>
      </w:r>
    </w:p>
    <w:p w:rsidR="00644FC8" w14:paraId="36D5D250" w14:textId="77777777">
      <w:pPr>
        <w:numPr>
          <w:ilvl w:val="1"/>
          <w:numId w:val="6"/>
        </w:numPr>
        <w:ind w:right="30" w:hanging="360"/>
      </w:pPr>
      <w:r>
        <w:t xml:space="preserve">Follow-up conversations planned with the patient and/or family </w:t>
      </w:r>
      <w:r>
        <w:rPr>
          <w:b/>
        </w:rPr>
        <w:t xml:space="preserve"> </w:t>
      </w:r>
    </w:p>
    <w:p w:rsidR="00644FC8" w14:paraId="43F216DC" w14:textId="77777777">
      <w:pPr>
        <w:numPr>
          <w:ilvl w:val="0"/>
          <w:numId w:val="5"/>
        </w:numPr>
        <w:ind w:right="30" w:hanging="360"/>
      </w:pPr>
      <w:r>
        <w:t>Advice from a CLEAR disclosure coach or LRSD at</w:t>
      </w:r>
      <w:r>
        <w:t>torney should not be documented in the medical record.</w:t>
      </w:r>
      <w:r>
        <w:rPr>
          <w:b/>
        </w:rPr>
        <w:t xml:space="preserve"> </w:t>
      </w:r>
    </w:p>
    <w:p w:rsidR="00644FC8" w14:paraId="3963E0EC" w14:textId="77777777">
      <w:pPr>
        <w:numPr>
          <w:ilvl w:val="1"/>
          <w:numId w:val="5"/>
        </w:numPr>
        <w:ind w:right="30" w:hanging="360"/>
      </w:pPr>
      <w:r>
        <w:t>The chart is for communication about the care and patient’s treatment.</w:t>
      </w:r>
      <w:r>
        <w:rPr>
          <w:b/>
        </w:rPr>
        <w:t xml:space="preserve"> </w:t>
      </w:r>
    </w:p>
    <w:p w:rsidR="00644FC8" w14:paraId="47B87FE5" w14:textId="77777777">
      <w:pPr>
        <w:numPr>
          <w:ilvl w:val="1"/>
          <w:numId w:val="5"/>
        </w:numPr>
        <w:ind w:right="30" w:hanging="360"/>
      </w:pPr>
      <w:r>
        <w:t>The purpose of a coaching session is to provide support and guidance for the care team.</w:t>
      </w:r>
      <w:r>
        <w:rPr>
          <w:b/>
        </w:rPr>
        <w:t xml:space="preserve"> </w:t>
      </w:r>
    </w:p>
    <w:p w:rsidR="00644FC8" w14:paraId="0C0F5CF2" w14:textId="77777777">
      <w:pPr>
        <w:spacing w:after="20" w:line="259" w:lineRule="auto"/>
        <w:ind w:left="1800" w:firstLine="0"/>
      </w:pPr>
      <w:r>
        <w:rPr>
          <w:b/>
        </w:rPr>
        <w:t xml:space="preserve"> </w:t>
      </w:r>
    </w:p>
    <w:p w:rsidR="00644FC8" w14:paraId="446D60D8" w14:textId="77777777">
      <w:pPr>
        <w:pStyle w:val="Heading2"/>
        <w:ind w:left="-5"/>
      </w:pPr>
      <w:r>
        <w:rPr>
          <w:b w:val="0"/>
        </w:rPr>
        <w:t>E.</w:t>
      </w:r>
      <w:r>
        <w:rPr>
          <w:rFonts w:ascii="Arial" w:eastAsia="Arial" w:hAnsi="Arial" w:cs="Arial"/>
          <w:b w:val="0"/>
        </w:rPr>
        <w:t xml:space="preserve"> </w:t>
      </w:r>
      <w:r>
        <w:t>Emotional Support for Care Provide</w:t>
      </w:r>
      <w:r>
        <w:t>rs</w:t>
      </w:r>
      <w:r>
        <w:t xml:space="preserve"> </w:t>
      </w:r>
    </w:p>
    <w:p w:rsidR="00644FC8" w14:paraId="33290966" w14:textId="77777777">
      <w:pPr>
        <w:numPr>
          <w:ilvl w:val="0"/>
          <w:numId w:val="7"/>
        </w:numPr>
        <w:ind w:right="30" w:hanging="360"/>
      </w:pPr>
      <w:r>
        <w:t xml:space="preserve">Being involved in a serious safety event is a difficult experience for care providers.  </w:t>
      </w:r>
      <w:r>
        <w:rPr>
          <w:sz w:val="22"/>
        </w:rPr>
        <w:t xml:space="preserve"> </w:t>
      </w:r>
    </w:p>
    <w:p w:rsidR="00644FC8" w14:paraId="485A5A1B" w14:textId="77777777">
      <w:pPr>
        <w:numPr>
          <w:ilvl w:val="0"/>
          <w:numId w:val="7"/>
        </w:numPr>
        <w:ind w:right="30" w:hanging="360"/>
      </w:pPr>
      <w:r>
        <w:t>If anyone on the care team should need emotional support, the following resources are available:</w:t>
      </w:r>
      <w:r>
        <w:rPr>
          <w:sz w:val="22"/>
        </w:rPr>
        <w:t xml:space="preserve"> </w:t>
      </w:r>
    </w:p>
    <w:p w:rsidR="00644FC8" w14:paraId="4D3FA5A9" w14:textId="77777777">
      <w:pPr>
        <w:numPr>
          <w:ilvl w:val="1"/>
          <w:numId w:val="7"/>
        </w:numPr>
        <w:ind w:right="30" w:hanging="360"/>
      </w:pPr>
      <w:r>
        <w:t>For Yale staff and faculty, the Yale University Employee Assista</w:t>
      </w:r>
      <w:r>
        <w:t xml:space="preserve">nce Program provides counseling and support services:  </w:t>
      </w:r>
      <w:hyperlink r:id="rId11">
        <w:r>
          <w:rPr>
            <w:color w:val="0000FF"/>
            <w:u w:val="single" w:color="0000FF"/>
          </w:rPr>
          <w:t>https://your.yale.edu/work-yale/benefits/health-and</w:t>
        </w:r>
      </w:hyperlink>
      <w:hyperlink r:id="rId12">
        <w:r>
          <w:rPr>
            <w:color w:val="0000FF"/>
            <w:u w:val="single" w:color="0000FF"/>
          </w:rPr>
          <w:t>wellness/employee-assistance-program</w:t>
        </w:r>
      </w:hyperlink>
      <w:hyperlink r:id="rId13">
        <w:r>
          <w:rPr>
            <w:sz w:val="22"/>
          </w:rPr>
          <w:t xml:space="preserve"> </w:t>
        </w:r>
      </w:hyperlink>
    </w:p>
    <w:p w:rsidR="00644FC8" w14:paraId="1DC314CC" w14:textId="77777777">
      <w:pPr>
        <w:numPr>
          <w:ilvl w:val="1"/>
          <w:numId w:val="7"/>
        </w:numPr>
        <w:ind w:right="30" w:hanging="360"/>
      </w:pPr>
      <w:r>
        <w:t xml:space="preserve">For Yale New Haven Health staff and for Yale Medicine physicians, the Yale New Haven Health Employee Assistance Program provides counseling and support services:  </w:t>
      </w:r>
      <w:hyperlink r:id="rId14">
        <w:r>
          <w:rPr>
            <w:color w:val="0000FF"/>
            <w:u w:val="single" w:color="0000FF"/>
          </w:rPr>
          <w:t>https://www.achievesolutions.net/achievesolutions/en/ynhhs/Home.do</w:t>
        </w:r>
      </w:hyperlink>
      <w:hyperlink r:id="rId15">
        <w:r>
          <w:rPr>
            <w:sz w:val="22"/>
          </w:rPr>
          <w:t xml:space="preserve"> </w:t>
        </w:r>
      </w:hyperlink>
    </w:p>
    <w:p w:rsidR="00644FC8" w14:paraId="600185C3" w14:textId="77777777">
      <w:pPr>
        <w:numPr>
          <w:ilvl w:val="1"/>
          <w:numId w:val="7"/>
        </w:numPr>
        <w:ind w:right="30" w:hanging="360"/>
      </w:pPr>
      <w:r>
        <w:t xml:space="preserve">The Yale New Haven Health Crisis Management Intervention Team (Available to Yale New Haven Health and Yale Medicine groups): </w:t>
      </w:r>
    </w:p>
    <w:p w:rsidR="00644FC8" w14:paraId="357577C3" w14:textId="77777777">
      <w:pPr>
        <w:spacing w:after="23" w:line="259" w:lineRule="auto"/>
        <w:ind w:left="1800" w:firstLine="0"/>
      </w:pPr>
      <w:hyperlink r:id="rId16">
        <w:r w:rsidR="00554487">
          <w:rPr>
            <w:color w:val="0000FF"/>
            <w:u w:val="single" w:color="0000FF"/>
          </w:rPr>
          <w:t>https://vimeo.com/ynhh/review/146812496/51cd60fabe</w:t>
        </w:r>
      </w:hyperlink>
      <w:hyperlink r:id="rId17">
        <w:r w:rsidR="00554487">
          <w:rPr>
            <w:sz w:val="22"/>
          </w:rPr>
          <w:t xml:space="preserve"> </w:t>
        </w:r>
      </w:hyperlink>
    </w:p>
    <w:p w:rsidR="00644FC8" w14:paraId="76803938" w14:textId="77777777">
      <w:pPr>
        <w:tabs>
          <w:tab w:val="center" w:pos="2465"/>
          <w:tab w:val="center" w:pos="6358"/>
        </w:tabs>
        <w:ind w:left="0" w:firstLine="0"/>
      </w:pPr>
      <w:r>
        <w:rPr>
          <w:sz w:val="22"/>
        </w:rPr>
        <w:tab/>
        <w:t>I.</w:t>
      </w:r>
      <w:r>
        <w:rPr>
          <w:rFonts w:ascii="Arial" w:eastAsia="Arial" w:hAnsi="Arial" w:cs="Arial"/>
          <w:sz w:val="22"/>
        </w:rPr>
        <w:t xml:space="preserve"> </w:t>
      </w:r>
      <w:r>
        <w:rPr>
          <w:rFonts w:ascii="Arial" w:eastAsia="Arial" w:hAnsi="Arial" w:cs="Arial"/>
          <w:sz w:val="22"/>
        </w:rPr>
        <w:tab/>
      </w:r>
      <w:r>
        <w:t>For</w:t>
      </w:r>
      <w:r>
        <w:t xml:space="preserve"> peer to peer support after experiencing a critical incident, the Crisis </w:t>
      </w:r>
    </w:p>
    <w:p w:rsidR="00644FC8" w14:paraId="30202131" w14:textId="77777777">
      <w:pPr>
        <w:ind w:left="2880" w:right="30" w:firstLine="0"/>
      </w:pPr>
      <w:r>
        <w:t xml:space="preserve">Management Intervention Team can be activated by contacting YNHH security at 203-688-2500. The team consists of employees trained to standards of critical </w:t>
      </w:r>
    </w:p>
    <w:p w:rsidR="00644FC8" w14:paraId="0D6A0884" w14:textId="2550C9DC">
      <w:pPr>
        <w:spacing w:after="0" w:line="259" w:lineRule="auto"/>
        <w:ind w:left="0" w:firstLine="0"/>
      </w:pPr>
    </w:p>
    <w:p w:rsidR="00644FC8" w14:paraId="37D579E8" w14:textId="77777777">
      <w:pPr>
        <w:spacing w:after="57" w:line="259" w:lineRule="auto"/>
        <w:ind w:left="0" w:firstLine="0"/>
      </w:pPr>
      <w:r>
        <w:rPr>
          <w:b/>
          <w:sz w:val="20"/>
        </w:rPr>
        <w:t xml:space="preserve"> </w:t>
      </w:r>
    </w:p>
    <w:p w:rsidR="00644FC8" w14:paraId="13B29DD7" w14:textId="77777777">
      <w:pPr>
        <w:pStyle w:val="Heading1"/>
        <w:spacing w:after="0"/>
        <w:ind w:left="-5"/>
      </w:pPr>
      <w:r>
        <w:rPr>
          <w:sz w:val="28"/>
        </w:rPr>
        <w:t>Disclosure of Adverse Outcomes and Events of Harm</w:t>
      </w:r>
      <w:r>
        <w:rPr>
          <w:sz w:val="28"/>
        </w:rPr>
        <w:t xml:space="preserve"> </w:t>
      </w:r>
    </w:p>
    <w:p w:rsidR="00644FC8" w14:paraId="465DEB71" w14:textId="77777777">
      <w:pPr>
        <w:spacing w:after="20" w:line="260" w:lineRule="auto"/>
        <w:ind w:left="2880" w:right="89" w:hanging="2880"/>
        <w:jc w:val="both"/>
      </w:pPr>
      <w:r>
        <w:rPr>
          <w:b/>
          <w:i/>
          <w:sz w:val="18"/>
        </w:rPr>
        <w:t xml:space="preserve"> </w:t>
      </w:r>
      <w:r>
        <w:t xml:space="preserve">incident stress management. Team members can </w:t>
      </w:r>
      <w:r>
        <w:t>help fellow employees who have experienced a critical incident and/or secondary trauma stress to “debrief” – talk about their roles in and reactions to critical events.</w:t>
      </w:r>
      <w:r>
        <w:rPr>
          <w:sz w:val="22"/>
        </w:rPr>
        <w:t xml:space="preserve"> </w:t>
      </w:r>
    </w:p>
    <w:p w:rsidR="00644FC8" w14:paraId="1C1E1995" w14:textId="77777777">
      <w:pPr>
        <w:ind w:left="2880" w:right="30" w:hanging="526"/>
      </w:pPr>
      <w:r>
        <w:rPr>
          <w:sz w:val="22"/>
        </w:rPr>
        <w:t>II.</w:t>
      </w:r>
      <w:r>
        <w:rPr>
          <w:rFonts w:ascii="Arial" w:eastAsia="Arial" w:hAnsi="Arial" w:cs="Arial"/>
          <w:sz w:val="22"/>
        </w:rPr>
        <w:t xml:space="preserve"> </w:t>
      </w:r>
      <w:r>
        <w:rPr>
          <w:rFonts w:ascii="Arial" w:eastAsia="Arial" w:hAnsi="Arial" w:cs="Arial"/>
          <w:sz w:val="22"/>
        </w:rPr>
        <w:tab/>
      </w:r>
      <w:r>
        <w:t>The page operator at 203-688-4242 may also be contacted and request to activate t</w:t>
      </w:r>
      <w:r>
        <w:t>he peer support team. Typically, the team can be activated within 24 hours to provide pertinent information and debriefing sessions about a critical incident. When necessary the team can be dispatched immediately.</w:t>
      </w:r>
      <w:r>
        <w:rPr>
          <w:sz w:val="22"/>
        </w:rPr>
        <w:t xml:space="preserve"> </w:t>
      </w:r>
    </w:p>
    <w:p w:rsidR="00644FC8" w14:paraId="49C82033" w14:textId="77777777">
      <w:pPr>
        <w:ind w:left="1795" w:right="30"/>
      </w:pPr>
      <w:r>
        <w:t>d.</w:t>
      </w:r>
      <w:r>
        <w:rPr>
          <w:rFonts w:ascii="Arial" w:eastAsia="Arial" w:hAnsi="Arial" w:cs="Arial"/>
        </w:rPr>
        <w:t xml:space="preserve"> </w:t>
      </w:r>
      <w:r>
        <w:t>The Medically Induced Trauma Support S</w:t>
      </w:r>
      <w:r>
        <w:t>ervices (MITSS), Inc., a non-profit organization “whose mission is “</w:t>
      </w:r>
      <w:r>
        <w:rPr>
          <w:i/>
        </w:rPr>
        <w:t>To Support Healing and Restore Hope”</w:t>
      </w:r>
      <w:r>
        <w:t xml:space="preserve"> to patients, families, and clinicians who have been affected by an adverse medical event”. </w:t>
      </w:r>
      <w:r>
        <w:rPr>
          <w:sz w:val="22"/>
        </w:rPr>
        <w:t xml:space="preserve"> </w:t>
      </w:r>
      <w:r>
        <w:t>For faculty and staff who have been impacted by a serious s</w:t>
      </w:r>
      <w:r>
        <w:t>afety</w:t>
      </w:r>
      <w:r>
        <w:rPr>
          <w:color w:val="333333"/>
        </w:rPr>
        <w:t xml:space="preserve"> event, MITSS offers confidential, emotional, telephone support by calling 888-366-4877. For more information about MITSS, go to </w:t>
      </w:r>
      <w:hyperlink r:id="rId18">
        <w:r>
          <w:rPr>
            <w:color w:val="0000FF"/>
            <w:u w:val="single" w:color="0000FF"/>
          </w:rPr>
          <w:t>http://www.mitss.org/clinicians_home.html</w:t>
        </w:r>
      </w:hyperlink>
      <w:hyperlink r:id="rId19">
        <w:r>
          <w:rPr>
            <w:color w:val="666666"/>
          </w:rPr>
          <w:t>.</w:t>
        </w:r>
      </w:hyperlink>
      <w:r>
        <w:rPr>
          <w:color w:val="666666"/>
        </w:rPr>
        <w:t xml:space="preserve"> </w:t>
      </w:r>
      <w:r>
        <w:t xml:space="preserve"> </w:t>
      </w:r>
    </w:p>
    <w:p w:rsidR="00644FC8" w14:paraId="1D8831C6" w14:textId="77777777">
      <w:pPr>
        <w:spacing w:after="22" w:line="259" w:lineRule="auto"/>
        <w:ind w:left="1800" w:firstLine="0"/>
      </w:pPr>
      <w:r>
        <w:t xml:space="preserve"> </w:t>
      </w:r>
    </w:p>
    <w:p w:rsidR="00644FC8" w14:paraId="0CEA4C54" w14:textId="77777777">
      <w:pPr>
        <w:pStyle w:val="Heading2"/>
        <w:ind w:left="-5"/>
      </w:pPr>
      <w:r>
        <w:rPr>
          <w:b w:val="0"/>
        </w:rPr>
        <w:t>F.</w:t>
      </w:r>
      <w:r>
        <w:rPr>
          <w:rFonts w:ascii="Arial" w:eastAsia="Arial" w:hAnsi="Arial" w:cs="Arial"/>
          <w:b w:val="0"/>
        </w:rPr>
        <w:t xml:space="preserve"> </w:t>
      </w:r>
      <w:r>
        <w:t>Definitions</w:t>
      </w:r>
      <w:r>
        <w:rPr>
          <w:b w:val="0"/>
        </w:rPr>
        <w:t xml:space="preserve"> </w:t>
      </w:r>
    </w:p>
    <w:p w:rsidR="00644FC8" w14:paraId="137EEC5D" w14:textId="77777777">
      <w:pPr>
        <w:ind w:left="360" w:right="30" w:firstLine="0"/>
      </w:pPr>
      <w:r>
        <w:t>In 2006, Healthcare Performance Improvement (HPI) developed the Safety Event Classification (SEC) and the Serious Safety Event Rate (SSER). “The Safety Event Classification provides common definitions</w:t>
      </w:r>
      <w:r>
        <w:t xml:space="preserve"> and an algorithm for the classification of safety events. The classification is based on the degree of harm that results from a deviation from expected performance or standard of care. The SEC serves as the foundation for the calculation of the Serious Sa</w:t>
      </w:r>
      <w:r>
        <w:t xml:space="preserve">fety Event Rate, a volume-adjusted measure of events resulting in moderate to severe harm, including death. Together, the SEC and SSER provide a consistent methodology for measuring </w:t>
      </w:r>
      <w:r>
        <w:t xml:space="preserve">patient harm and improvement in reducing patient harm. Over 100 hospitals </w:t>
      </w:r>
      <w:r>
        <w:t>across the United States are using the SEC and SSER.”</w:t>
      </w:r>
      <w:r>
        <w:rPr>
          <w:vertAlign w:val="superscript"/>
        </w:rPr>
        <w:footnoteReference w:id="2"/>
      </w:r>
      <w:r>
        <w:t xml:space="preserve"> </w:t>
      </w:r>
    </w:p>
    <w:p w:rsidR="00644FC8" w14:paraId="073E67F5" w14:textId="77777777">
      <w:pPr>
        <w:spacing w:after="186" w:line="259" w:lineRule="auto"/>
        <w:ind w:left="360" w:firstLine="0"/>
      </w:pPr>
      <w:r>
        <w:rPr>
          <w:sz w:val="10"/>
        </w:rPr>
        <w:t xml:space="preserve"> </w:t>
      </w:r>
    </w:p>
    <w:p w:rsidR="00644FC8" w14:paraId="0026D004" w14:textId="77777777">
      <w:pPr>
        <w:tabs>
          <w:tab w:val="center" w:pos="3959"/>
          <w:tab w:val="center" w:pos="7555"/>
        </w:tabs>
        <w:spacing w:after="0" w:line="259" w:lineRule="auto"/>
        <w:ind w:left="0" w:firstLine="0"/>
      </w:pPr>
      <w:r>
        <w:rPr>
          <w:sz w:val="22"/>
        </w:rPr>
        <w:tab/>
      </w:r>
      <w:r>
        <w:rPr>
          <w:noProof/>
        </w:rPr>
        <w:drawing>
          <wp:inline distT="0" distB="0" distL="0" distR="0">
            <wp:extent cx="4570098" cy="2616899"/>
            <wp:effectExtent l="0" t="0" r="0" b="0"/>
            <wp:docPr id="395" name="Picture 395"/>
            <wp:cNvGraphicFramePr/>
            <a:graphic xmlns:a="http://schemas.openxmlformats.org/drawingml/2006/main">
              <a:graphicData uri="http://schemas.openxmlformats.org/drawingml/2006/picture">
                <pic:pic xmlns:pic="http://schemas.openxmlformats.org/drawingml/2006/picture">
                  <pic:nvPicPr>
                    <pic:cNvPr id="395" name="Picture 395"/>
                    <pic:cNvPicPr/>
                  </pic:nvPicPr>
                  <pic:blipFill>
                    <a:blip xmlns:r="http://schemas.openxmlformats.org/officeDocument/2006/relationships" r:embed="rId20"/>
                    <a:stretch>
                      <a:fillRect/>
                    </a:stretch>
                  </pic:blipFill>
                  <pic:spPr>
                    <a:xfrm>
                      <a:off x="0" y="0"/>
                      <a:ext cx="4570098" cy="2616899"/>
                    </a:xfrm>
                    <a:prstGeom prst="rect">
                      <a:avLst/>
                    </a:prstGeom>
                  </pic:spPr>
                </pic:pic>
              </a:graphicData>
            </a:graphic>
          </wp:inline>
        </w:drawing>
      </w:r>
      <w:r>
        <w:rPr>
          <w:sz w:val="10"/>
        </w:rPr>
        <w:t xml:space="preserve"> </w:t>
      </w:r>
      <w:r>
        <w:rPr>
          <w:sz w:val="10"/>
        </w:rPr>
        <w:tab/>
      </w:r>
      <w:r>
        <w:t xml:space="preserve"> </w:t>
      </w:r>
    </w:p>
    <w:p w:rsidR="00644FC8" w14:paraId="6C06CACB" w14:textId="77777777">
      <w:pPr>
        <w:spacing w:after="766" w:line="259" w:lineRule="auto"/>
        <w:ind w:left="0" w:right="173" w:firstLine="0"/>
        <w:jc w:val="right"/>
      </w:pPr>
      <w:r>
        <w:rPr>
          <w:rFonts w:ascii="Times New Roman" w:eastAsia="Times New Roman" w:hAnsi="Times New Roman" w:cs="Times New Roman"/>
          <w:b/>
          <w:i/>
          <w:sz w:val="18"/>
        </w:rPr>
        <w:t xml:space="preserve"> </w:t>
      </w:r>
    </w:p>
    <w:p w:rsidR="00644FC8" w14:paraId="5B9EC76E" w14:textId="77777777">
      <w:pPr>
        <w:spacing w:after="184" w:line="259" w:lineRule="auto"/>
        <w:ind w:left="0" w:right="209" w:firstLine="0"/>
        <w:jc w:val="right"/>
      </w:pPr>
      <w:r>
        <w:rPr>
          <w:b/>
          <w:i/>
          <w:sz w:val="4"/>
        </w:rPr>
        <w:t xml:space="preserve"> </w:t>
      </w:r>
    </w:p>
    <w:p w:rsidR="00644FC8" w14:paraId="7555AE95" w14:textId="77777777">
      <w:pPr>
        <w:pStyle w:val="Heading2"/>
        <w:ind w:left="-5"/>
      </w:pPr>
      <w:r>
        <w:t>Appendix: Example of YNHHS CLEAR Disclosure Process</w:t>
      </w:r>
      <w:r>
        <w:t xml:space="preserve"> </w:t>
      </w:r>
    </w:p>
    <w:p w:rsidR="00644FC8" w14:paraId="73179259" w14:textId="77777777">
      <w:pPr>
        <w:spacing w:after="77" w:line="259" w:lineRule="auto"/>
        <w:ind w:left="0" w:firstLine="0"/>
      </w:pPr>
      <w:r>
        <w:rPr>
          <w:noProof/>
          <w:sz w:val="22"/>
        </w:rPr>
        <mc:AlternateContent>
          <mc:Choice Requires="wpg">
            <w:drawing>
              <wp:inline distT="0" distB="0" distL="0" distR="0">
                <wp:extent cx="6823862" cy="3706104"/>
                <wp:effectExtent l="0" t="0" r="0" b="0"/>
                <wp:docPr id="3876" name="Group 3876"/>
                <wp:cNvGraphicFramePr/>
                <a:graphic xmlns:a="http://schemas.openxmlformats.org/drawingml/2006/main">
                  <a:graphicData uri="http://schemas.microsoft.com/office/word/2010/wordprocessingGroup">
                    <wpg:wgp xmlns:wpg="http://schemas.microsoft.com/office/word/2010/wordprocessingGroup">
                      <wpg:cNvGrpSpPr/>
                      <wpg:grpSpPr>
                        <a:xfrm>
                          <a:off x="0" y="0"/>
                          <a:ext cx="6823862" cy="3706104"/>
                          <a:chOff x="0" y="0"/>
                          <a:chExt cx="6823862" cy="3706104"/>
                        </a:xfrm>
                      </wpg:grpSpPr>
                      <pic:pic xmlns:pic="http://schemas.openxmlformats.org/drawingml/2006/picture">
                        <pic:nvPicPr>
                          <pic:cNvPr id="424" name="Picture 424"/>
                          <pic:cNvPicPr/>
                        </pic:nvPicPr>
                        <pic:blipFill>
                          <a:blip xmlns:r="http://schemas.openxmlformats.org/officeDocument/2006/relationships" r:embed="rId21"/>
                          <a:stretch>
                            <a:fillRect/>
                          </a:stretch>
                        </pic:blipFill>
                        <pic:spPr>
                          <a:xfrm>
                            <a:off x="0" y="0"/>
                            <a:ext cx="6788615" cy="3394722"/>
                          </a:xfrm>
                          <a:prstGeom prst="rect">
                            <a:avLst/>
                          </a:prstGeom>
                        </pic:spPr>
                      </pic:pic>
                      <wps:wsp xmlns:wps="http://schemas.microsoft.com/office/word/2010/wordprocessingShape">
                        <wps:cNvPr id="425" name="Rectangle 425"/>
                        <wps:cNvSpPr/>
                        <wps:spPr>
                          <a:xfrm>
                            <a:off x="6789420" y="3279394"/>
                            <a:ext cx="45808" cy="206453"/>
                          </a:xfrm>
                          <a:prstGeom prst="rect">
                            <a:avLst/>
                          </a:prstGeom>
                          <a:ln>
                            <a:noFill/>
                          </a:ln>
                        </wps:spPr>
                        <wps:txbx>
                          <w:txbxContent>
                            <w:p w:rsidR="00644FC8" w14:paraId="04F3002A" w14:textId="77777777">
                              <w:pPr>
                                <w:spacing w:after="160" w:line="259" w:lineRule="auto"/>
                                <w:ind w:left="0" w:firstLine="0"/>
                              </w:pPr>
                              <w:r>
                                <w:rPr>
                                  <w:b/>
                                </w:rPr>
                                <w:t xml:space="preserve"> </w:t>
                              </w:r>
                            </w:p>
                          </w:txbxContent>
                        </wps:txbx>
                        <wps:bodyPr horzOverflow="overflow" vert="horz" lIns="0" tIns="0" rIns="0" bIns="0" rtlCol="0"/>
                      </wps:wsp>
                      <wps:wsp xmlns:wps="http://schemas.microsoft.com/office/word/2010/wordprocessingShape">
                        <wps:cNvPr id="426" name="Rectangle 426"/>
                        <wps:cNvSpPr/>
                        <wps:spPr>
                          <a:xfrm>
                            <a:off x="0" y="3432556"/>
                            <a:ext cx="19239" cy="86710"/>
                          </a:xfrm>
                          <a:prstGeom prst="rect">
                            <a:avLst/>
                          </a:prstGeom>
                          <a:ln>
                            <a:noFill/>
                          </a:ln>
                        </wps:spPr>
                        <wps:txbx>
                          <w:txbxContent>
                            <w:p w:rsidR="00644FC8" w14:paraId="5C72D4BB" w14:textId="77777777">
                              <w:pPr>
                                <w:spacing w:after="160" w:line="259" w:lineRule="auto"/>
                                <w:ind w:left="0" w:firstLine="0"/>
                              </w:pPr>
                              <w:r>
                                <w:rPr>
                                  <w:b/>
                                  <w:sz w:val="10"/>
                                </w:rPr>
                                <w:t xml:space="preserve"> </w:t>
                              </w:r>
                            </w:p>
                          </w:txbxContent>
                        </wps:txbx>
                        <wps:bodyPr horzOverflow="overflow" vert="horz" lIns="0" tIns="0" rIns="0" bIns="0" rtlCol="0"/>
                      </wps:wsp>
                      <wps:wsp xmlns:wps="http://schemas.microsoft.com/office/word/2010/wordprocessingShape">
                        <wps:cNvPr id="427" name="Rectangle 427"/>
                        <wps:cNvSpPr/>
                        <wps:spPr>
                          <a:xfrm>
                            <a:off x="0" y="3537331"/>
                            <a:ext cx="11452" cy="51613"/>
                          </a:xfrm>
                          <a:prstGeom prst="rect">
                            <a:avLst/>
                          </a:prstGeom>
                          <a:ln>
                            <a:noFill/>
                          </a:ln>
                        </wps:spPr>
                        <wps:txbx>
                          <w:txbxContent>
                            <w:p w:rsidR="00644FC8" w14:paraId="15CE4EFC" w14:textId="77777777">
                              <w:pPr>
                                <w:spacing w:after="160" w:line="259" w:lineRule="auto"/>
                                <w:ind w:left="0" w:firstLine="0"/>
                              </w:pPr>
                              <w:r>
                                <w:rPr>
                                  <w:b/>
                                  <w:sz w:val="6"/>
                                </w:rPr>
                                <w:t xml:space="preserve"> </w:t>
                              </w:r>
                            </w:p>
                          </w:txbxContent>
                        </wps:txbx>
                        <wps:bodyPr horzOverflow="overflow" vert="horz" lIns="0" tIns="0" rIns="0" bIns="0" rtlCol="0"/>
                      </wps:wsp>
                      <wps:wsp xmlns:wps="http://schemas.microsoft.com/office/word/2010/wordprocessingShape">
                        <wps:cNvPr id="428" name="Rectangle 428"/>
                        <wps:cNvSpPr/>
                        <wps:spPr>
                          <a:xfrm>
                            <a:off x="0" y="3602101"/>
                            <a:ext cx="30692" cy="138323"/>
                          </a:xfrm>
                          <a:prstGeom prst="rect">
                            <a:avLst/>
                          </a:prstGeom>
                          <a:ln>
                            <a:noFill/>
                          </a:ln>
                        </wps:spPr>
                        <wps:txbx>
                          <w:txbxContent>
                            <w:p w:rsidR="00644FC8" w14:paraId="51B6C3BD" w14:textId="77777777">
                              <w:pPr>
                                <w:spacing w:after="160" w:line="259" w:lineRule="auto"/>
                                <w:ind w:left="0" w:firstLine="0"/>
                              </w:pPr>
                              <w:r>
                                <w:rPr>
                                  <w:b/>
                                  <w:sz w:val="16"/>
                                </w:rPr>
                                <w:t xml:space="preserve"> </w:t>
                              </w:r>
                            </w:p>
                          </w:txbxContent>
                        </wps:txbx>
                        <wps:bodyPr horzOverflow="overflow" vert="horz" lIns="0" tIns="0" rIns="0" bIns="0" rtlCol="0"/>
                      </wps:wsp>
                      <wps:wsp xmlns:wps="http://schemas.microsoft.com/office/word/2010/wordprocessingShape">
                        <wps:cNvPr id="436" name="Shape 436"/>
                        <wps:cNvSpPr/>
                        <wps:spPr>
                          <a:xfrm>
                            <a:off x="6486525" y="3260725"/>
                            <a:ext cx="224155" cy="138430"/>
                          </a:xfrm>
                          <a:custGeom>
                            <a:avLst/>
                            <a:gdLst/>
                            <a:rect l="0" t="0" r="0" b="0"/>
                            <a:pathLst>
                              <a:path fill="norm" h="138430" w="224155" stroke="1">
                                <a:moveTo>
                                  <a:pt x="112078" y="0"/>
                                </a:moveTo>
                                <a:cubicBezTo>
                                  <a:pt x="50178" y="0"/>
                                  <a:pt x="0" y="30988"/>
                                  <a:pt x="0" y="69215"/>
                                </a:cubicBezTo>
                                <a:cubicBezTo>
                                  <a:pt x="0" y="107442"/>
                                  <a:pt x="50178" y="138430"/>
                                  <a:pt x="112078" y="138430"/>
                                </a:cubicBezTo>
                                <a:cubicBezTo>
                                  <a:pt x="173978" y="138430"/>
                                  <a:pt x="224155" y="107442"/>
                                  <a:pt x="224155" y="69215"/>
                                </a:cubicBezTo>
                                <a:cubicBezTo>
                                  <a:pt x="224155" y="30988"/>
                                  <a:pt x="173978" y="0"/>
                                  <a:pt x="112078" y="0"/>
                                </a:cubicBezTo>
                                <a:close/>
                              </a:path>
                            </a:pathLst>
                          </a:custGeom>
                          <a:ln w="9525" cap="rnd">
                            <a:round/>
                          </a:ln>
                        </wps:spPr>
                        <wps:style>
                          <a:lnRef idx="1">
                            <a:srgbClr val="F8F8F8"/>
                          </a:lnRef>
                          <a:fillRef idx="0">
                            <a:srgbClr val="000000">
                              <a:alpha val="0"/>
                            </a:srgbClr>
                          </a:fillRef>
                          <a:effectRef idx="0">
                            <a:scrgbClr r="0" g="0" b="0"/>
                          </a:effectRef>
                          <a:fontRef idx="none"/>
                        </wps:style>
                        <wps:bodyPr/>
                      </wps:wsp>
                    </wpg:wgp>
                  </a:graphicData>
                </a:graphic>
              </wp:inline>
            </w:drawing>
          </mc:Choice>
          <mc:Fallback>
            <w:pict>
              <v:group id="Group 3876" o:spid="_x0000_i1025" style="width:537.3pt;height:291.8pt;mso-position-horizontal-relative:char;mso-position-vertical-relative:line" coordsize="68238,37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4" o:spid="_x0000_s1026" type="#_x0000_t75" style="width:67886;height:33947;mso-wrap-style:square;position:absolute;visibility:visible">
                  <v:imagedata r:id="rId21" o:title=""/>
                </v:shape>
                <v:rect id="Rectangle 425" o:spid="_x0000_s1027" style="width:458;height:2065;left:67894;mso-wrap-style:square;position:absolute;top:32793;visibility:visible;v-text-anchor:top" filled="f" stroked="f">
                  <v:textbox inset="0,0,0,0">
                    <w:txbxContent>
                      <w:p w:rsidR="00644FC8" w14:paraId="629AC503" w14:textId="77777777">
                        <w:pPr>
                          <w:spacing w:after="160" w:line="259" w:lineRule="auto"/>
                          <w:ind w:left="0" w:firstLine="0"/>
                        </w:pPr>
                        <w:r>
                          <w:rPr>
                            <w:b/>
                          </w:rPr>
                          <w:t xml:space="preserve"> </w:t>
                        </w:r>
                      </w:p>
                    </w:txbxContent>
                  </v:textbox>
                </v:rect>
                <v:rect id="Rectangle 426" o:spid="_x0000_s1028" style="width:192;height:867;mso-wrap-style:square;position:absolute;top:34325;visibility:visible;v-text-anchor:top" filled="f" stroked="f">
                  <v:textbox inset="0,0,0,0">
                    <w:txbxContent>
                      <w:p w:rsidR="00644FC8" w14:paraId="1211E756" w14:textId="77777777">
                        <w:pPr>
                          <w:spacing w:after="160" w:line="259" w:lineRule="auto"/>
                          <w:ind w:left="0" w:firstLine="0"/>
                        </w:pPr>
                        <w:r>
                          <w:rPr>
                            <w:b/>
                            <w:sz w:val="10"/>
                          </w:rPr>
                          <w:t xml:space="preserve"> </w:t>
                        </w:r>
                      </w:p>
                    </w:txbxContent>
                  </v:textbox>
                </v:rect>
                <v:rect id="Rectangle 427" o:spid="_x0000_s1029" style="width:114;height:516;mso-wrap-style:square;position:absolute;top:35373;visibility:visible;v-text-anchor:top" filled="f" stroked="f">
                  <v:textbox inset="0,0,0,0">
                    <w:txbxContent>
                      <w:p w:rsidR="00644FC8" w14:paraId="7F402DCC" w14:textId="77777777">
                        <w:pPr>
                          <w:spacing w:after="160" w:line="259" w:lineRule="auto"/>
                          <w:ind w:left="0" w:firstLine="0"/>
                        </w:pPr>
                        <w:r>
                          <w:rPr>
                            <w:b/>
                            <w:sz w:val="6"/>
                          </w:rPr>
                          <w:t xml:space="preserve"> </w:t>
                        </w:r>
                      </w:p>
                    </w:txbxContent>
                  </v:textbox>
                </v:rect>
                <v:rect id="Rectangle 428" o:spid="_x0000_s1030" style="width:306;height:1383;mso-wrap-style:square;position:absolute;top:36021;visibility:visible;v-text-anchor:top" filled="f" stroked="f">
                  <v:textbox inset="0,0,0,0">
                    <w:txbxContent>
                      <w:p w:rsidR="00644FC8" w14:paraId="5051C115" w14:textId="77777777">
                        <w:pPr>
                          <w:spacing w:after="160" w:line="259" w:lineRule="auto"/>
                          <w:ind w:left="0" w:firstLine="0"/>
                        </w:pPr>
                        <w:r>
                          <w:rPr>
                            <w:b/>
                            <w:sz w:val="16"/>
                          </w:rPr>
                          <w:t xml:space="preserve"> </w:t>
                        </w:r>
                      </w:p>
                    </w:txbxContent>
                  </v:textbox>
                </v:rect>
                <v:shape id="Shape 436" o:spid="_x0000_s1031" style="width:2241;height:1384;left:64865;mso-wrap-style:square;position:absolute;top:32607;visibility:visible;v-text-anchor:top" coordsize="224155,138430" path="m112078,c50178,,,30988,,69215c,107442,50178,138430,112078,138430c173978,138430,224155,107442,224155,69215,224155,30988,173978,,112078,xe" filled="f" strokecolor="#f8f8f8">
                  <v:stroke endcap="round"/>
                  <v:path arrowok="t" textboxrect="0,0,224155,138430"/>
                </v:shape>
                <w10:anchorlock/>
              </v:group>
            </w:pict>
          </mc:Fallback>
        </mc:AlternateContent>
      </w:r>
    </w:p>
    <w:p w:rsidR="00644FC8" w14:paraId="6A5642DC" w14:textId="77777777">
      <w:pPr>
        <w:pStyle w:val="Heading2"/>
        <w:ind w:left="-5"/>
      </w:pPr>
      <w:r>
        <w:t>CLEAR DISCLOSURE ASSISTANCE CALL</w:t>
      </w:r>
      <w:r>
        <w:t xml:space="preserve"> </w:t>
      </w:r>
    </w:p>
    <w:p w:rsidR="00644FC8" w14:paraId="0A4FECBC" w14:textId="77777777">
      <w:pPr>
        <w:spacing w:after="22" w:line="259" w:lineRule="auto"/>
        <w:ind w:left="0" w:firstLine="0"/>
      </w:pPr>
      <w:r>
        <w:rPr>
          <w:noProof/>
          <w:sz w:val="22"/>
        </w:rPr>
        <mc:AlternateContent>
          <mc:Choice Requires="wpg">
            <w:drawing>
              <wp:inline distT="0" distB="0" distL="0" distR="0">
                <wp:extent cx="5819141" cy="3669572"/>
                <wp:effectExtent l="0" t="0" r="0" b="0"/>
                <wp:docPr id="3877" name="Group 3877"/>
                <wp:cNvGraphicFramePr/>
                <a:graphic xmlns:a="http://schemas.openxmlformats.org/drawingml/2006/main">
                  <a:graphicData uri="http://schemas.microsoft.com/office/word/2010/wordprocessingGroup">
                    <wpg:wgp xmlns:wpg="http://schemas.microsoft.com/office/word/2010/wordprocessingGroup">
                      <wpg:cNvGrpSpPr/>
                      <wpg:grpSpPr>
                        <a:xfrm>
                          <a:off x="0" y="0"/>
                          <a:ext cx="5819141" cy="3669572"/>
                          <a:chOff x="0" y="0"/>
                          <a:chExt cx="5819141" cy="3669572"/>
                        </a:xfrm>
                      </wpg:grpSpPr>
                      <wps:wsp xmlns:wps="http://schemas.microsoft.com/office/word/2010/wordprocessingShape">
                        <wps:cNvPr id="430" name="Rectangle 430"/>
                        <wps:cNvSpPr/>
                        <wps:spPr>
                          <a:xfrm>
                            <a:off x="0" y="0"/>
                            <a:ext cx="45808" cy="206453"/>
                          </a:xfrm>
                          <a:prstGeom prst="rect">
                            <a:avLst/>
                          </a:prstGeom>
                          <a:ln>
                            <a:noFill/>
                          </a:ln>
                        </wps:spPr>
                        <wps:txbx>
                          <w:txbxContent>
                            <w:p w:rsidR="00644FC8" w14:paraId="7457832D" w14:textId="77777777">
                              <w:pPr>
                                <w:spacing w:after="160" w:line="259" w:lineRule="auto"/>
                                <w:ind w:left="0" w:firstLine="0"/>
                              </w:pPr>
                              <w:r>
                                <w:rPr>
                                  <w:b/>
                                </w:rPr>
                                <w:t xml:space="preserve"> </w:t>
                              </w:r>
                            </w:p>
                          </w:txbxContent>
                        </wps:txbx>
                        <wps:bodyPr horzOverflow="overflow" vert="horz" lIns="0" tIns="0" rIns="0" bIns="0" rtlCol="0"/>
                      </wps:wsp>
                      <pic:pic xmlns:pic="http://schemas.openxmlformats.org/drawingml/2006/picture">
                        <pic:nvPicPr>
                          <pic:cNvPr id="432" name="Picture 432"/>
                          <pic:cNvPicPr/>
                        </pic:nvPicPr>
                        <pic:blipFill>
                          <a:blip xmlns:r="http://schemas.openxmlformats.org/officeDocument/2006/relationships" r:embed="rId22"/>
                          <a:stretch>
                            <a:fillRect/>
                          </a:stretch>
                        </pic:blipFill>
                        <pic:spPr>
                          <a:xfrm>
                            <a:off x="0" y="184656"/>
                            <a:ext cx="5668210" cy="3446555"/>
                          </a:xfrm>
                          <a:prstGeom prst="rect">
                            <a:avLst/>
                          </a:prstGeom>
                        </pic:spPr>
                      </pic:pic>
                      <wps:wsp xmlns:wps="http://schemas.microsoft.com/office/word/2010/wordprocessingShape">
                        <wps:cNvPr id="433" name="Rectangle 433"/>
                        <wps:cNvSpPr/>
                        <wps:spPr>
                          <a:xfrm>
                            <a:off x="5670804" y="3514344"/>
                            <a:ext cx="45808" cy="206453"/>
                          </a:xfrm>
                          <a:prstGeom prst="rect">
                            <a:avLst/>
                          </a:prstGeom>
                          <a:ln>
                            <a:noFill/>
                          </a:ln>
                        </wps:spPr>
                        <wps:txbx>
                          <w:txbxContent>
                            <w:p w:rsidR="00644FC8" w14:paraId="049F8607" w14:textId="77777777">
                              <w:pPr>
                                <w:spacing w:after="160" w:line="259" w:lineRule="auto"/>
                                <w:ind w:left="0" w:firstLine="0"/>
                              </w:pPr>
                              <w:r>
                                <w:rPr>
                                  <w:b/>
                                </w:rPr>
                                <w:t xml:space="preserve"> </w:t>
                              </w:r>
                            </w:p>
                          </w:txbxContent>
                        </wps:txbx>
                        <wps:bodyPr horzOverflow="overflow" vert="horz" lIns="0" tIns="0" rIns="0" bIns="0" rtlCol="0"/>
                      </wps:wsp>
                      <wps:wsp xmlns:wps="http://schemas.microsoft.com/office/word/2010/wordprocessingShape">
                        <wps:cNvPr id="438" name="Shape 438"/>
                        <wps:cNvSpPr/>
                        <wps:spPr>
                          <a:xfrm>
                            <a:off x="5594985" y="3447289"/>
                            <a:ext cx="224155" cy="138430"/>
                          </a:xfrm>
                          <a:custGeom>
                            <a:avLst/>
                            <a:gdLst/>
                            <a:rect l="0" t="0" r="0" b="0"/>
                            <a:pathLst>
                              <a:path fill="norm" h="138430" w="224155" stroke="1">
                                <a:moveTo>
                                  <a:pt x="112078" y="0"/>
                                </a:moveTo>
                                <a:cubicBezTo>
                                  <a:pt x="50178" y="0"/>
                                  <a:pt x="0" y="30988"/>
                                  <a:pt x="0" y="69215"/>
                                </a:cubicBezTo>
                                <a:cubicBezTo>
                                  <a:pt x="0" y="107442"/>
                                  <a:pt x="50178" y="138430"/>
                                  <a:pt x="112078" y="138430"/>
                                </a:cubicBezTo>
                                <a:cubicBezTo>
                                  <a:pt x="173977" y="138430"/>
                                  <a:pt x="224155" y="107442"/>
                                  <a:pt x="224155" y="69215"/>
                                </a:cubicBezTo>
                                <a:cubicBezTo>
                                  <a:pt x="224155" y="30988"/>
                                  <a:pt x="173977" y="0"/>
                                  <a:pt x="112078" y="0"/>
                                </a:cubicBezTo>
                                <a:close/>
                              </a:path>
                            </a:pathLst>
                          </a:custGeom>
                          <a:ln w="9525" cap="rnd">
                            <a:round/>
                          </a:ln>
                        </wps:spPr>
                        <wps:style>
                          <a:lnRef idx="1">
                            <a:srgbClr val="F8F8F8"/>
                          </a:lnRef>
                          <a:fillRef idx="0">
                            <a:srgbClr val="000000">
                              <a:alpha val="0"/>
                            </a:srgbClr>
                          </a:fillRef>
                          <a:effectRef idx="0">
                            <a:scrgbClr r="0" g="0" b="0"/>
                          </a:effectRef>
                          <a:fontRef idx="none"/>
                        </wps:style>
                        <wps:bodyPr/>
                      </wps:wsp>
                    </wpg:wgp>
                  </a:graphicData>
                </a:graphic>
              </wp:inline>
            </w:drawing>
          </mc:Choice>
          <mc:Fallback>
            <w:pict>
              <v:group id="Group 3877" o:spid="_x0000_i1032" style="width:458.2pt;height:288.95pt;mso-position-horizontal-relative:char;mso-position-vertical-relative:line" coordsize="58191,36695">
                <v:rect id="Rectangle 430" o:spid="_x0000_s1033" style="width:458;height:2064;mso-wrap-style:square;position:absolute;visibility:visible;v-text-anchor:top" filled="f" stroked="f">
                  <v:textbox inset="0,0,0,0">
                    <w:txbxContent>
                      <w:p w:rsidR="00644FC8" w14:paraId="38D52C05" w14:textId="77777777">
                        <w:pPr>
                          <w:spacing w:after="160" w:line="259" w:lineRule="auto"/>
                          <w:ind w:left="0" w:firstLine="0"/>
                        </w:pPr>
                        <w:r>
                          <w:rPr>
                            <w:b/>
                          </w:rPr>
                          <w:t xml:space="preserve"> </w:t>
                        </w:r>
                      </w:p>
                    </w:txbxContent>
                  </v:textbox>
                </v:rect>
                <v:shape id="Picture 432" o:spid="_x0000_s1034" type="#_x0000_t75" style="width:56682;height:34466;mso-wrap-style:square;position:absolute;top:1846;visibility:visible">
                  <v:imagedata r:id="rId22" o:title=""/>
                </v:shape>
                <v:rect id="Rectangle 433" o:spid="_x0000_s1035" style="width:458;height:2064;left:56708;mso-wrap-style:square;position:absolute;top:35143;visibility:visible;v-text-anchor:top" filled="f" stroked="f">
                  <v:textbox inset="0,0,0,0">
                    <w:txbxContent>
                      <w:p w:rsidR="00644FC8" w14:paraId="4629FC6A" w14:textId="77777777">
                        <w:pPr>
                          <w:spacing w:after="160" w:line="259" w:lineRule="auto"/>
                          <w:ind w:left="0" w:firstLine="0"/>
                        </w:pPr>
                        <w:r>
                          <w:rPr>
                            <w:b/>
                          </w:rPr>
                          <w:t xml:space="preserve"> </w:t>
                        </w:r>
                      </w:p>
                    </w:txbxContent>
                  </v:textbox>
                </v:rect>
                <v:shape id="Shape 438" o:spid="_x0000_s1036" style="width:2242;height:1385;left:55949;mso-wrap-style:square;position:absolute;top:34472;visibility:visible;v-text-anchor:top" coordsize="224155,138430" path="m112078,c50178,,,30988,,69215c,107442,50178,138430,112078,138430c173977,138430,224155,107442,224155,69215,224155,30988,173977,,112078,xe" filled="f" strokecolor="#f8f8f8">
                  <v:stroke endcap="round"/>
                  <v:path arrowok="t" textboxrect="0,0,224155,138430"/>
                </v:shape>
                <w10:anchorlock/>
              </v:group>
            </w:pict>
          </mc:Fallback>
        </mc:AlternateContent>
      </w:r>
    </w:p>
    <w:p w:rsidR="00644FC8" w14:paraId="3739909C" w14:textId="77777777">
      <w:pPr>
        <w:spacing w:after="64" w:line="259" w:lineRule="auto"/>
        <w:ind w:left="0" w:right="168" w:firstLine="0"/>
        <w:jc w:val="right"/>
        <w:sectPr>
          <w:headerReference w:type="even" r:id="rId23"/>
          <w:headerReference w:type="default" r:id="rId24"/>
          <w:footerReference w:type="default" r:id="rId25"/>
          <w:headerReference w:type="first" r:id="rId26"/>
          <w:footerReference w:type="first" r:id="rId27"/>
          <w:footnotePr>
            <w:numRestart w:val="eachPage"/>
          </w:footnotePr>
          <w:pgSz w:w="12240" w:h="15840"/>
          <w:pgMar w:top="766" w:right="502" w:bottom="719" w:left="720" w:header="720" w:footer="720" w:gutter="0"/>
          <w:cols w:space="720"/>
          <w:titlePg/>
        </w:sectPr>
      </w:pPr>
      <w:r>
        <w:rPr>
          <w:b/>
          <w:sz w:val="22"/>
        </w:rPr>
        <w:t xml:space="preserve"> </w:t>
      </w:r>
    </w:p>
    <w:p w:rsidR="00644FC8" w14:paraId="047C5A02" w14:textId="77777777">
      <w:pPr>
        <w:spacing w:after="64" w:line="259" w:lineRule="auto"/>
        <w:ind w:left="0" w:right="168" w:firstLine="0"/>
        <w:jc w:val="right"/>
      </w:pPr>
    </w:p>
    <w:sectPr>
      <w:footnotePr>
        <w:numRestart w:val="eachPage"/>
      </w:footnotePr>
      <w:type w:val="continuous"/>
      <w:pgSz w:w="12240" w:h="15840"/>
      <w:pgMar w:top="766" w:right="502" w:bottom="719"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12B47" w14:paraId="12E166AF" w14:textId="77777777">
      <w:pPr>
        <w:spacing w:after="0" w:line="240" w:lineRule="auto"/>
      </w:pPr>
      <w:r>
        <w:separator/>
      </w:r>
    </w:p>
  </w:endnote>
  <w:endnote w:type="continuationSeparator" w:id="1">
    <w:p w:rsidR="00112B47" w14:paraId="13B95E2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22743967"/>
      <w:docPartObj>
        <w:docPartGallery w:val="Page Numbers (Bottom of Page)"/>
        <w:docPartUnique/>
      </w:docPartObj>
    </w:sdtPr>
    <w:sdtContent>
      <w:sdt>
        <w:sdtPr>
          <w:id w:val="1012671987"/>
          <w:docPartObj>
            <w:docPartGallery w:val="Page Numbers (Top of Page)"/>
            <w:docPartUnique/>
          </w:docPartObj>
        </w:sdtPr>
        <w:sdtContent>
          <w:p w:rsidR="00EF6513" w:rsidRPr="00B677B9" w:rsidP="000368C8" w14:paraId="6DACC586" w14:textId="27DC27DF">
            <w:pPr>
              <w:tabs>
                <w:tab w:val="left" w:pos="3315"/>
                <w:tab w:val="center" w:pos="4320"/>
                <w:tab w:val="right" w:pos="8640"/>
                <w:tab w:val="right" w:pos="9360"/>
              </w:tabs>
              <w:spacing w:before="240" w:after="240" w:line="240" w:lineRule="auto"/>
              <w:ind w:left="0" w:firstLine="0"/>
              <w:contextualSpacing/>
              <w:jc w:val="right"/>
              <w:rPr>
                <w:rFonts w:ascii="Arial" w:eastAsia="Times New Roman" w:hAnsi="Arial" w:cs="Times New Roman"/>
                <w:color w:val="auto"/>
                <w:sz w:val="20"/>
                <w:szCs w:val="20"/>
              </w:rPr>
            </w:pPr>
            <w:r>
              <w:rPr>
                <w:rFonts w:ascii="Arial" w:eastAsia="Times New Roman" w:hAnsi="Arial" w:cs="Times New Roman"/>
                <w:color w:val="auto"/>
                <w:sz w:val="20"/>
                <w:szCs w:val="20"/>
              </w:rPr>
              <w:tab/>
            </w:r>
            <w:r>
              <w:rPr>
                <w:rFonts w:ascii="Arial" w:eastAsia="Times New Roman" w:hAnsi="Arial" w:cs="Times New Roman"/>
                <w:color w:val="auto"/>
                <w:sz w:val="20"/>
                <w:szCs w:val="20"/>
              </w:rPr>
              <w:tab/>
            </w:r>
            <w:r>
              <w:rPr>
                <w:rFonts w:ascii="Arial" w:eastAsia="Times New Roman" w:hAnsi="Arial" w:cs="Times New Roman"/>
                <w:color w:val="auto"/>
                <w:sz w:val="20"/>
                <w:szCs w:val="20"/>
              </w:rPr>
              <w:tab/>
            </w:r>
            <w:r w:rsidR="00323EFC">
              <w:rPr>
                <w:rFonts w:ascii="Arial" w:eastAsia="Times New Roman" w:hAnsi="Arial" w:cs="Times New Roman"/>
                <w:color w:val="auto"/>
                <w:sz w:val="20"/>
                <w:szCs w:val="20"/>
              </w:rPr>
              <w:t xml:space="preserve">Page </w:t>
            </w:r>
            <w:r w:rsidR="00323EFC">
              <w:rPr>
                <w:rFonts w:ascii="Arial" w:eastAsia="Times New Roman" w:hAnsi="Arial" w:cs="Times New Roman"/>
                <w:b/>
                <w:bCs/>
                <w:color w:val="auto"/>
                <w:szCs w:val="24"/>
              </w:rPr>
              <w:fldChar w:fldCharType="begin"/>
            </w:r>
            <w:r w:rsidR="00323EFC">
              <w:rPr>
                <w:rFonts w:ascii="Arial" w:eastAsia="Times New Roman" w:hAnsi="Arial" w:cs="Times New Roman"/>
                <w:b/>
                <w:bCs/>
                <w:color w:val="auto"/>
                <w:sz w:val="20"/>
                <w:szCs w:val="20"/>
              </w:rPr>
              <w:instrText xml:space="preserve"> PAGE </w:instrText>
            </w:r>
            <w:r w:rsidR="00323EFC">
              <w:rPr>
                <w:rFonts w:ascii="Arial" w:eastAsia="Times New Roman" w:hAnsi="Arial" w:cs="Times New Roman"/>
                <w:b/>
                <w:bCs/>
                <w:color w:val="auto"/>
                <w:szCs w:val="24"/>
              </w:rPr>
              <w:fldChar w:fldCharType="separate"/>
            </w:r>
            <w:r w:rsidR="00323EFC">
              <w:rPr>
                <w:rFonts w:ascii="Arial" w:eastAsia="Times New Roman" w:hAnsi="Arial" w:cs="Times New Roman"/>
                <w:b/>
                <w:bCs/>
                <w:color w:val="auto"/>
                <w:sz w:val="20"/>
                <w:szCs w:val="20"/>
              </w:rPr>
              <w:t>6</w:t>
            </w:r>
            <w:r w:rsidR="00323EFC">
              <w:rPr>
                <w:rFonts w:ascii="Arial" w:eastAsia="Times New Roman" w:hAnsi="Arial" w:cs="Times New Roman"/>
                <w:b/>
                <w:bCs/>
                <w:color w:val="auto"/>
                <w:szCs w:val="24"/>
              </w:rPr>
              <w:fldChar w:fldCharType="end"/>
            </w:r>
            <w:r w:rsidR="00323EFC">
              <w:rPr>
                <w:rFonts w:ascii="Arial" w:eastAsia="Times New Roman" w:hAnsi="Arial" w:cs="Times New Roman"/>
                <w:color w:val="auto"/>
                <w:sz w:val="20"/>
                <w:szCs w:val="20"/>
              </w:rPr>
              <w:t xml:space="preserve"> of </w:t>
            </w:r>
            <w:r w:rsidR="00323EFC">
              <w:rPr>
                <w:rFonts w:ascii="Arial" w:eastAsia="Times New Roman" w:hAnsi="Arial" w:cs="Times New Roman"/>
                <w:b/>
                <w:bCs/>
                <w:color w:val="auto"/>
                <w:szCs w:val="24"/>
              </w:rPr>
              <w:fldChar w:fldCharType="begin"/>
            </w:r>
            <w:r w:rsidR="00323EFC">
              <w:rPr>
                <w:rFonts w:ascii="Arial" w:eastAsia="Times New Roman" w:hAnsi="Arial" w:cs="Times New Roman"/>
                <w:b/>
                <w:bCs/>
                <w:color w:val="auto"/>
                <w:sz w:val="20"/>
                <w:szCs w:val="20"/>
              </w:rPr>
              <w:instrText xml:space="preserve"> NUMPAGES  </w:instrText>
            </w:r>
            <w:r w:rsidR="00323EFC">
              <w:rPr>
                <w:rFonts w:ascii="Arial" w:eastAsia="Times New Roman" w:hAnsi="Arial" w:cs="Times New Roman"/>
                <w:b/>
                <w:bCs/>
                <w:color w:val="auto"/>
                <w:szCs w:val="24"/>
              </w:rPr>
              <w:fldChar w:fldCharType="separate"/>
            </w:r>
            <w:r w:rsidR="00323EFC">
              <w:rPr>
                <w:rFonts w:ascii="Arial" w:eastAsia="Times New Roman" w:hAnsi="Arial" w:cs="Times New Roman"/>
                <w:b/>
                <w:bCs/>
                <w:color w:val="auto"/>
                <w:sz w:val="20"/>
                <w:szCs w:val="20"/>
              </w:rPr>
              <w:t>6</w:t>
            </w:r>
            <w:r w:rsidR="00323EFC">
              <w:rPr>
                <w:rFonts w:ascii="Arial" w:eastAsia="Times New Roman" w:hAnsi="Arial" w:cs="Times New Roman"/>
                <w:b/>
                <w:bCs/>
                <w:color w:val="auto"/>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1511444"/>
      <w:docPartObj>
        <w:docPartGallery w:val="Page Numbers (Bottom of Page)"/>
        <w:docPartUnique/>
      </w:docPartObj>
    </w:sdtPr>
    <w:sdtContent>
      <w:sdt>
        <w:sdtPr>
          <w:id w:val="837737268"/>
          <w:docPartObj>
            <w:docPartGallery w:val="Page Numbers (Top of Page)"/>
            <w:docPartUnique/>
          </w:docPartObj>
        </w:sdtPr>
        <w:sdtContent>
          <w:p w:rsidR="00323EFC" w14:paraId="60A5BD3B" w14:textId="70BBCE11">
            <w:pPr>
              <w:tabs>
                <w:tab w:val="center" w:pos="4320"/>
                <w:tab w:val="right" w:pos="8640"/>
              </w:tabs>
              <w:spacing w:before="240" w:after="240" w:line="240" w:lineRule="auto"/>
              <w:ind w:left="0" w:firstLine="0"/>
              <w:contextualSpacing/>
              <w:jc w:val="right"/>
              <w:rPr>
                <w:rFonts w:ascii="Arial" w:eastAsia="Times New Roman" w:hAnsi="Arial" w:cs="Times New Roman"/>
                <w:color w:val="auto"/>
                <w:sz w:val="20"/>
                <w:szCs w:val="20"/>
              </w:rPr>
            </w:pPr>
            <w:r>
              <w:rPr>
                <w:rFonts w:ascii="Arial" w:eastAsia="Times New Roman" w:hAnsi="Arial" w:cs="Times New Roman"/>
                <w:color w:val="auto"/>
                <w:sz w:val="20"/>
                <w:szCs w:val="20"/>
              </w:rPr>
              <w:t xml:space="preserve">Page </w:t>
            </w:r>
            <w:r>
              <w:rPr>
                <w:rFonts w:ascii="Arial" w:eastAsia="Times New Roman" w:hAnsi="Arial" w:cs="Times New Roman"/>
                <w:b/>
                <w:bCs/>
                <w:color w:val="auto"/>
                <w:szCs w:val="24"/>
              </w:rPr>
              <w:fldChar w:fldCharType="begin"/>
            </w:r>
            <w:r>
              <w:rPr>
                <w:rFonts w:ascii="Arial" w:eastAsia="Times New Roman" w:hAnsi="Arial" w:cs="Times New Roman"/>
                <w:b/>
                <w:bCs/>
                <w:color w:val="auto"/>
                <w:sz w:val="20"/>
                <w:szCs w:val="20"/>
              </w:rPr>
              <w:instrText xml:space="preserve"> PAGE </w:instrText>
            </w:r>
            <w:r>
              <w:rPr>
                <w:rFonts w:ascii="Arial" w:eastAsia="Times New Roman" w:hAnsi="Arial" w:cs="Times New Roman"/>
                <w:b/>
                <w:bCs/>
                <w:color w:val="auto"/>
                <w:szCs w:val="24"/>
              </w:rPr>
              <w:fldChar w:fldCharType="separate"/>
            </w:r>
            <w:r>
              <w:rPr>
                <w:rFonts w:ascii="Arial" w:eastAsia="Times New Roman" w:hAnsi="Arial" w:cs="Times New Roman"/>
                <w:b/>
                <w:bCs/>
                <w:color w:val="auto"/>
                <w:sz w:val="20"/>
                <w:szCs w:val="20"/>
              </w:rPr>
              <w:t>1</w:t>
            </w:r>
            <w:r>
              <w:rPr>
                <w:rFonts w:ascii="Arial" w:eastAsia="Times New Roman" w:hAnsi="Arial" w:cs="Times New Roman"/>
                <w:b/>
                <w:bCs/>
                <w:color w:val="auto"/>
                <w:szCs w:val="24"/>
              </w:rPr>
              <w:fldChar w:fldCharType="end"/>
            </w:r>
            <w:r>
              <w:rPr>
                <w:rFonts w:ascii="Arial" w:eastAsia="Times New Roman" w:hAnsi="Arial" w:cs="Times New Roman"/>
                <w:color w:val="auto"/>
                <w:sz w:val="20"/>
                <w:szCs w:val="20"/>
              </w:rPr>
              <w:t xml:space="preserve"> of </w:t>
            </w:r>
            <w:r>
              <w:rPr>
                <w:rFonts w:ascii="Arial" w:eastAsia="Times New Roman" w:hAnsi="Arial" w:cs="Times New Roman"/>
                <w:b/>
                <w:bCs/>
                <w:color w:val="auto"/>
                <w:szCs w:val="24"/>
              </w:rPr>
              <w:fldChar w:fldCharType="begin"/>
            </w:r>
            <w:r>
              <w:rPr>
                <w:rFonts w:ascii="Arial" w:eastAsia="Times New Roman" w:hAnsi="Arial" w:cs="Times New Roman"/>
                <w:b/>
                <w:bCs/>
                <w:color w:val="auto"/>
                <w:sz w:val="20"/>
                <w:szCs w:val="20"/>
              </w:rPr>
              <w:instrText xml:space="preserve"> NUMPAGES  </w:instrText>
            </w:r>
            <w:r>
              <w:rPr>
                <w:rFonts w:ascii="Arial" w:eastAsia="Times New Roman" w:hAnsi="Arial" w:cs="Times New Roman"/>
                <w:b/>
                <w:bCs/>
                <w:color w:val="auto"/>
                <w:szCs w:val="24"/>
              </w:rPr>
              <w:fldChar w:fldCharType="separate"/>
            </w:r>
            <w:r>
              <w:rPr>
                <w:rFonts w:ascii="Arial" w:eastAsia="Times New Roman" w:hAnsi="Arial" w:cs="Times New Roman"/>
                <w:b/>
                <w:bCs/>
                <w:color w:val="auto"/>
                <w:sz w:val="20"/>
                <w:szCs w:val="20"/>
              </w:rPr>
              <w:t>6</w:t>
            </w:r>
            <w:r>
              <w:rPr>
                <w:rFonts w:ascii="Arial" w:eastAsia="Times New Roman" w:hAnsi="Arial" w:cs="Times New Roman"/>
                <w:b/>
                <w:bCs/>
                <w:color w:val="auto"/>
                <w:szCs w:val="24"/>
              </w:rPr>
              <w:fldChar w:fldCharType="end"/>
            </w:r>
          </w:p>
        </w:sdtContent>
      </w:sdt>
    </w:sdtContent>
  </w:sdt>
  <w:p w:rsidR="00E30B82" w:rsidP="00E30B82" w14:paraId="6455F99A" w14:textId="37A6E6F8">
    <w:pPr>
      <w:tabs>
        <w:tab w:val="left" w:pos="8220"/>
      </w:tabs>
      <w:spacing w:before="240" w:after="240" w:line="240" w:lineRule="auto"/>
      <w:ind w:left="0" w:firstLine="0"/>
      <w:contextualSpacing/>
      <w:rPr>
        <w:rFonts w:ascii="Arial" w:eastAsia="Times New Roman" w:hAnsi="Arial" w:cs="Times New Roman"/>
        <w:color w:val="auto"/>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12B47" w14:paraId="0FBCAB38" w14:textId="77777777">
      <w:pPr>
        <w:spacing w:after="440" w:line="307" w:lineRule="auto"/>
        <w:ind w:left="0" w:firstLine="0"/>
      </w:pPr>
      <w:r>
        <w:separator/>
      </w:r>
    </w:p>
  </w:footnote>
  <w:footnote w:type="continuationSeparator" w:id="1">
    <w:p w:rsidR="00112B47" w14:paraId="50C8A39F" w14:textId="77777777">
      <w:pPr>
        <w:spacing w:after="440" w:line="307" w:lineRule="auto"/>
        <w:ind w:left="0" w:firstLine="0"/>
      </w:pPr>
      <w:r>
        <w:continuationSeparator/>
      </w:r>
    </w:p>
  </w:footnote>
  <w:footnote w:id="2">
    <w:p w:rsidR="00644FC8" w14:paraId="0EA46450" w14:textId="77777777">
      <w:pPr>
        <w:pStyle w:val="footnotedescription"/>
        <w:spacing w:after="440" w:line="307" w:lineRule="auto"/>
        <w:ind w:right="0"/>
      </w:pPr>
      <w:r>
        <w:rPr>
          <w:rStyle w:val="footnotemark"/>
        </w:rPr>
        <w:footnoteRef/>
      </w:r>
      <w:r>
        <w:t xml:space="preserve"> Health Performance Improvement (HPI), SEC &amp; SSER Patient Safety Measurement System for Healthcare, HPI White Paper Series - Revision 2, May 2011, </w:t>
      </w:r>
      <w:hyperlink r:id="rId1">
        <w:r>
          <w:rPr>
            <w:color w:val="0000FF"/>
            <w:u w:val="single" w:color="0000FF"/>
          </w:rPr>
          <w:t>https://www.pressganey.com/docs/default-source/default-document-library/hpi-white-paper---sec-amp-sser-measurement-system-rev-2-may-2011.pdf?sfvrsn=0</w:t>
        </w:r>
      </w:hyperlink>
      <w:hyperlink r:id="rId2">
        <w:r>
          <w:t>.</w:t>
        </w:r>
      </w:hyperlink>
    </w:p>
    <w:p w:rsidR="00644FC8" w14:paraId="53A90E47" w14:textId="275CCFCB">
      <w:pPr>
        <w:pStyle w:val="footnotedescription"/>
        <w:spacing w:after="0" w:line="259" w:lineRule="auto"/>
        <w:ind w:right="43"/>
        <w:jc w:val="righ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1BA8" w14:paraId="21A047D0"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1BA8" w14:paraId="4B06FD86"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5A6F" w:rsidP="00865A6F" w14:paraId="10832EE3" w14:textId="77777777">
    <w:pPr>
      <w:tabs>
        <w:tab w:val="center" w:pos="4320"/>
        <w:tab w:val="right" w:pos="8640"/>
      </w:tabs>
      <w:spacing w:before="240" w:after="240" w:line="240" w:lineRule="auto"/>
      <w:ind w:left="0" w:firstLine="0"/>
      <w:contextualSpacing/>
      <w:rPr>
        <w:rFonts w:ascii="Arial" w:eastAsia="Times New Roman" w:hAnsi="Arial" w:cs="Times New Roman"/>
        <w:color w:val="auto"/>
        <w:sz w:val="20"/>
        <w:szCs w:val="20"/>
      </w:rPr>
    </w:pPr>
    <w:r>
      <w:rPr>
        <w:noProof/>
      </w:rPr>
      <w:drawing>
        <wp:inline distT="0" distB="0" distL="0" distR="0">
          <wp:extent cx="2914650" cy="408861"/>
          <wp:effectExtent l="0" t="0" r="0" b="0"/>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Icon&#10;&#10;Description automatically generated"/>
                  <pic:cNvPicPr/>
                </pic:nvPicPr>
                <pic:blipFill>
                  <a:blip xmlns:r="http://schemas.openxmlformats.org/officeDocument/2006/relationships" r:embed="rId1"/>
                  <a:stretch>
                    <a:fillRect/>
                  </a:stretch>
                </pic:blipFill>
                <pic:spPr>
                  <a:xfrm>
                    <a:off x="0" y="0"/>
                    <a:ext cx="3033640" cy="425553"/>
                  </a:xfrm>
                  <a:prstGeom prst="rect">
                    <a:avLst/>
                  </a:prstGeom>
                </pic:spPr>
              </pic:pic>
            </a:graphicData>
          </a:graphic>
        </wp:inline>
      </w:drawing>
    </w:r>
  </w:p>
  <w:p w:rsidR="00865A6F" w:rsidRPr="001B317C" w:rsidP="00865A6F" w14:paraId="13AA7B22" w14:textId="77777777">
    <w:pPr>
      <w:tabs>
        <w:tab w:val="center" w:pos="4320"/>
        <w:tab w:val="right" w:pos="8640"/>
      </w:tabs>
      <w:spacing w:before="240" w:after="240" w:line="240" w:lineRule="auto"/>
      <w:ind w:left="0" w:firstLine="0"/>
      <w:contextualSpacing/>
      <w:rPr>
        <w:rFonts w:ascii="Arial" w:eastAsia="Times New Roman" w:hAnsi="Arial" w:cs="Times New Roman"/>
        <w:b/>
        <w:color w:val="auto"/>
        <w:sz w:val="16"/>
        <w:szCs w:val="20"/>
      </w:rPr>
    </w:pPr>
  </w:p>
  <w:p w:rsidR="00A54028" w:rsidRPr="00A54028" w:rsidP="00A54028" w14:paraId="2E62482D" w14:textId="0B779FE5">
    <w:pPr>
      <w:pBdr>
        <w:bottom w:val="single" w:sz="4" w:space="1" w:color="auto"/>
      </w:pBdr>
      <w:spacing w:before="240" w:after="240" w:line="360" w:lineRule="auto"/>
      <w:ind w:left="0" w:firstLine="0"/>
      <w:contextualSpacing/>
      <w:rPr>
        <w:rFonts w:ascii="Arial" w:eastAsia="Times New Roman" w:hAnsi="Arial" w:cs="Times New Roman"/>
        <w:b/>
        <w:color w:val="auto"/>
        <w:spacing w:val="-10"/>
        <w:kern w:val="28"/>
        <w:sz w:val="36"/>
        <w:szCs w:val="56"/>
      </w:rPr>
    </w:pPr>
    <w:r w:rsidRPr="00825DBD">
      <w:rPr>
        <w:rFonts w:ascii="Arial" w:hAnsi="Arial" w:eastAsiaTheme="majorEastAsia" w:cstheme="majorBidi"/>
        <w:b/>
        <w:color w:val="auto"/>
        <w:spacing w:val="-10"/>
        <w:kern w:val="28"/>
        <w:sz w:val="36"/>
        <w:szCs w:val="56"/>
      </w:rPr>
      <w:fldChar w:fldCharType="begin"/>
    </w:r>
    <w:r w:rsidRPr="00825DBD">
      <w:rPr>
        <w:rFonts w:ascii="Arial" w:hAnsi="Arial" w:eastAsiaTheme="majorEastAsia" w:cstheme="majorBidi"/>
        <w:b/>
        <w:color w:val="auto"/>
        <w:spacing w:val="-10"/>
        <w:kern w:val="28"/>
        <w:sz w:val="36"/>
        <w:szCs w:val="56"/>
      </w:rPr>
      <w:instrText xml:space="preserve"> DOCVARIABLE </w:instrText>
    </w:r>
    <w:r w:rsidRPr="00825DBD">
      <w:rPr>
        <w:rFonts w:ascii="Arial" w:hAnsi="Arial" w:eastAsiaTheme="majorEastAsia" w:cstheme="majorBidi"/>
        <w:b/>
        <w:color w:val="auto"/>
        <w:spacing w:val="-10"/>
        <w:kern w:val="28"/>
        <w:sz w:val="36"/>
        <w:szCs w:val="56"/>
      </w:rPr>
      <w:instrText>Document_Title</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instrText>\*</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instrText>MERGEFORMAT</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fldChar w:fldCharType="separate"/>
    </w:r>
    <w:r w:rsidRPr="00825DBD">
      <w:rPr>
        <w:rFonts w:ascii="Arial" w:hAnsi="Arial" w:eastAsiaTheme="majorEastAsia" w:cstheme="majorBidi"/>
        <w:b/>
        <w:color w:val="auto"/>
        <w:spacing w:val="-10"/>
        <w:kern w:val="28"/>
        <w:sz w:val="36"/>
        <w:szCs w:val="56"/>
      </w:rPr>
      <w:t>Disclosure of Adverse Outcomes and Events of Harm - Policy</w:t>
    </w:r>
    <w:r w:rsidRPr="00825DBD">
      <w:rPr>
        <w:rFonts w:ascii="Arial" w:hAnsi="Arial" w:eastAsiaTheme="majorEastAsia" w:cstheme="majorBidi"/>
        <w:b/>
        <w:color w:val="auto"/>
        <w:spacing w:val="-10"/>
        <w:kern w:val="28"/>
        <w:sz w:val="36"/>
        <w:szCs w:val="56"/>
      </w:rPr>
      <w:fldChar w:fldCharType="end"/>
    </w:r>
  </w:p>
  <w:p w:rsidR="00DB7F91" w:rsidP="00A54028" w14:paraId="30265203" w14:textId="77777777">
    <w:pPr>
      <w:spacing w:before="240" w:after="240" w:line="276" w:lineRule="auto"/>
      <w:ind w:left="0" w:firstLine="0"/>
      <w:contextualSpacing/>
      <w:rPr>
        <w:rFonts w:ascii="Arial" w:eastAsia="Times New Roman" w:hAnsi="Arial" w:cs="Times New Roman"/>
        <w:b/>
        <w:bCs/>
        <w:color w:val="auto"/>
        <w:sz w:val="20"/>
        <w:szCs w:val="24"/>
      </w:rPr>
    </w:pPr>
  </w:p>
  <w:p w:rsidR="00865A6F" w:rsidRPr="00825DBD" w:rsidP="00A54028" w14:paraId="260798DB" w14:textId="0DFCA3D8">
    <w:pPr>
      <w:spacing w:before="240" w:after="240" w:line="276"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Responsible Office: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WR_Department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MEDYMA YMA</w:t>
    </w:r>
    <w:r w:rsidRPr="00825DBD">
      <w:rPr>
        <w:rFonts w:ascii="Arial" w:eastAsia="Times New Roman" w:hAnsi="Arial" w:cs="Times New Roman"/>
        <w:color w:val="auto"/>
        <w:sz w:val="20"/>
        <w:szCs w:val="20"/>
      </w:rPr>
      <w:fldChar w:fldCharType="end"/>
    </w:r>
  </w:p>
  <w:p w:rsidR="00865A6F" w:rsidRPr="00825DBD" w:rsidP="00865A6F" w14:paraId="0C7FCCFF" w14:textId="77777777">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 xml:space="preserve">Responsible Official: </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AP_Job_Title</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YM Practice Standard Committee</w:t>
    </w:r>
    <w:r w:rsidRPr="00825DBD">
      <w:rPr>
        <w:rFonts w:ascii="Arial" w:eastAsia="Times New Roman" w:hAnsi="Arial" w:cs="Times New Roman"/>
        <w:color w:val="auto"/>
        <w:sz w:val="20"/>
        <w:szCs w:val="20"/>
      </w:rPr>
      <w:fldChar w:fldCharType="end"/>
    </w:r>
  </w:p>
  <w:p w:rsidR="00865A6F" w:rsidRPr="00825DBD" w:rsidP="00865A6F" w14:paraId="1DE81866" w14:textId="704230FD">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Policy Sponsor:</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Babar Khokhar</w:t>
    </w:r>
  </w:p>
  <w:p w:rsidR="00865A6F" w:rsidRPr="00825DBD" w:rsidP="00865A6F" w14:paraId="6BFCB8A6" w14:textId="77777777">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Document Administrator:</w:t>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PO_Both</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Emily Kiesel (Project Manager, ACE)</w:t>
    </w:r>
    <w:r w:rsidRPr="00825DBD">
      <w:rPr>
        <w:rFonts w:ascii="Arial" w:eastAsia="Times New Roman" w:hAnsi="Arial" w:cs="Times New Roman"/>
        <w:color w:val="auto"/>
        <w:sz w:val="20"/>
        <w:szCs w:val="20"/>
      </w:rPr>
      <w:fldChar w:fldCharType="end"/>
    </w:r>
  </w:p>
  <w:p w:rsidR="00865A6F" w:rsidRPr="00825DBD" w:rsidP="00865A6F" w14:paraId="5944AFF7" w14:textId="77777777">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 xml:space="preserve">Date of Origin: </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Original_Creation_Date</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06/01/2015</w:t>
    </w:r>
    <w:r w:rsidRPr="00825DBD">
      <w:rPr>
        <w:rFonts w:ascii="Arial" w:eastAsia="Times New Roman" w:hAnsi="Arial" w:cs="Times New Roman"/>
        <w:color w:val="auto"/>
        <w:sz w:val="20"/>
        <w:szCs w:val="20"/>
      </w:rPr>
      <w:fldChar w:fldCharType="end"/>
    </w:r>
  </w:p>
  <w:p w:rsidR="00865A6F" w:rsidRPr="00825DBD" w:rsidP="00865A6F" w14:paraId="3B1F73B8" w14:textId="2C372A4E">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Approval Date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01/01/2020</w:t>
    </w:r>
  </w:p>
  <w:p w:rsidR="002822D2" w:rsidRPr="00865A6F" w:rsidP="00865A6F" w14:paraId="688FB459" w14:textId="566CFECC">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Effective Date: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01/01/2020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453E42"/>
    <w:multiLevelType w:val="hybridMultilevel"/>
    <w:tmpl w:val="4460A4E4"/>
    <w:lvl w:ilvl="0">
      <w:start w:val="1"/>
      <w:numFmt w:val="decimal"/>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7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21879B2"/>
    <w:multiLevelType w:val="hybridMultilevel"/>
    <w:tmpl w:val="EFF09474"/>
    <w:lvl w:ilvl="0">
      <w:start w:val="1"/>
      <w:numFmt w:val="decimal"/>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7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6E22FE8"/>
    <w:multiLevelType w:val="hybridMultilevel"/>
    <w:tmpl w:val="28B626B8"/>
    <w:lvl w:ilvl="0">
      <w:start w:val="1"/>
      <w:numFmt w:val="lowerLetter"/>
      <w:lvlText w:val="%1."/>
      <w:lvlJc w:val="left"/>
      <w:pPr>
        <w:ind w:left="17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5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9F774FF"/>
    <w:multiLevelType w:val="hybridMultilevel"/>
    <w:tmpl w:val="41C807AA"/>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2"/>
      <w:numFmt w:val="lowerLetter"/>
      <w:lvlText w:val="%2."/>
      <w:lvlJc w:val="left"/>
      <w:pPr>
        <w:ind w:left="17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7C84EB5"/>
    <w:multiLevelType w:val="hybridMultilevel"/>
    <w:tmpl w:val="64EC1766"/>
    <w:lvl w:ilvl="0">
      <w:start w:val="2"/>
      <w:numFmt w:val="decimal"/>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7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B075A25"/>
    <w:multiLevelType w:val="hybridMultilevel"/>
    <w:tmpl w:val="0E66C36A"/>
    <w:lvl w:ilvl="0">
      <w:start w:val="1"/>
      <w:numFmt w:val="decimal"/>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F891D30"/>
    <w:multiLevelType w:val="hybridMultilevel"/>
    <w:tmpl w:val="CD722E8C"/>
    <w:lvl w:ilvl="0">
      <w:start w:val="1"/>
      <w:numFmt w:val="decimal"/>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894392407">
    <w:abstractNumId w:val="5"/>
  </w:num>
  <w:num w:numId="2" w16cid:durableId="2113353640">
    <w:abstractNumId w:val="6"/>
  </w:num>
  <w:num w:numId="3" w16cid:durableId="1149323437">
    <w:abstractNumId w:val="2"/>
  </w:num>
  <w:num w:numId="4" w16cid:durableId="791440067">
    <w:abstractNumId w:val="4"/>
  </w:num>
  <w:num w:numId="5" w16cid:durableId="609825497">
    <w:abstractNumId w:val="1"/>
  </w:num>
  <w:num w:numId="6" w16cid:durableId="1009599228">
    <w:abstractNumId w:val="3"/>
  </w:num>
  <w:num w:numId="7" w16cid:durableId="1575511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Restart w:val="eachPage"/>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FC8"/>
    <w:rsid w:val="000368C8"/>
    <w:rsid w:val="000B4C13"/>
    <w:rsid w:val="000F3F14"/>
    <w:rsid w:val="000F651F"/>
    <w:rsid w:val="00112B47"/>
    <w:rsid w:val="00122409"/>
    <w:rsid w:val="00132E20"/>
    <w:rsid w:val="0018150F"/>
    <w:rsid w:val="001B317C"/>
    <w:rsid w:val="002822D2"/>
    <w:rsid w:val="00323EFC"/>
    <w:rsid w:val="00364A0D"/>
    <w:rsid w:val="003E23FF"/>
    <w:rsid w:val="00426004"/>
    <w:rsid w:val="0052629F"/>
    <w:rsid w:val="00554487"/>
    <w:rsid w:val="0063432F"/>
    <w:rsid w:val="00644FC8"/>
    <w:rsid w:val="00666857"/>
    <w:rsid w:val="00721BA8"/>
    <w:rsid w:val="007370CD"/>
    <w:rsid w:val="00801AF1"/>
    <w:rsid w:val="00825DBD"/>
    <w:rsid w:val="008517E5"/>
    <w:rsid w:val="00865A6F"/>
    <w:rsid w:val="009F3B0B"/>
    <w:rsid w:val="00A468D8"/>
    <w:rsid w:val="00A54028"/>
    <w:rsid w:val="00B55AAE"/>
    <w:rsid w:val="00B677B9"/>
    <w:rsid w:val="00B727A8"/>
    <w:rsid w:val="00BD42A0"/>
    <w:rsid w:val="00CE7337"/>
    <w:rsid w:val="00DB7F91"/>
    <w:rsid w:val="00E30B82"/>
    <w:rsid w:val="00E46EC7"/>
    <w:rsid w:val="00E5410F"/>
    <w:rsid w:val="00EF6513"/>
    <w:rsid w:val="00FC6491"/>
  </w:rsids>
  <w:docVars>
    <w:docVar w:name="AP Job Title" w:val="YM Practice Standard Committee"/>
    <w:docVar w:name="AP_Job_Title" w:val="YM Practice Standard Committee"/>
    <w:docVar w:name="Date Approved" w:val="Not Set"/>
    <w:docVar w:name="Document Title" w:val="Disclosure of Adverse Outcomes and Events of Harm Policy"/>
    <w:docVar w:name="Document_Title" w:val="Disclosure of Adverse Outcomes and Events of Harm - Policy"/>
    <w:docVar w:name="Last Periodic Review Date" w:val="Not Set"/>
    <w:docVar w:name="Original Creation Date" w:val="06/01/2015"/>
    <w:docVar w:name="Original_Creation_Date" w:val="06/01/2015"/>
    <w:docVar w:name="PO Both" w:val="Julianna Maisano"/>
    <w:docVar w:name="PO_Both" w:val="Emily Kiesel (Project Manager, ACE)"/>
    <w:docVar w:name="WR Both" w:val="Julianna Maisano"/>
    <w:docVar w:name="WR Department" w:val="YM Practice Standard Committee"/>
    <w:docVar w:name="WR_Department" w:val="MEDYMA YMA"/>
    <w:docVar w:name="__Grammarly_42___1" w:val="H4sIAAAAAAAEAKtWcslP9kxRslIyNDY2MjC0MDc0tDAzMTU0tzRT0lEKTi0uzszPAykwrAUArOmWR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DDDC4E"/>
  <w15:docId w15:val="{DBE71F2D-623D-416C-89D9-624710715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0" w:line="268" w:lineRule="auto"/>
      <w:ind w:left="370" w:hanging="37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21"/>
      <w:ind w:left="10" w:hanging="10"/>
      <w:outlineLvl w:val="0"/>
    </w:pPr>
    <w:rPr>
      <w:rFonts w:ascii="Calibri" w:eastAsia="Calibri" w:hAnsi="Calibri" w:cs="Calibri"/>
      <w:b/>
      <w:color w:val="000000"/>
      <w:sz w:val="24"/>
    </w:rPr>
  </w:style>
  <w:style w:type="paragraph" w:styleId="Heading2">
    <w:name w:val="heading 2"/>
    <w:next w:val="Normal"/>
    <w:link w:val="Heading2Char"/>
    <w:uiPriority w:val="9"/>
    <w:unhideWhenUsed/>
    <w:qFormat/>
    <w:pPr>
      <w:keepNext/>
      <w:keepLines/>
      <w:spacing w:after="21"/>
      <w:ind w:left="10" w:hanging="10"/>
      <w:outlineLvl w:val="1"/>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220" w:line="283" w:lineRule="auto"/>
      <w:ind w:right="21"/>
    </w:pPr>
    <w:rPr>
      <w:rFonts w:ascii="Calibri" w:eastAsia="Calibri" w:hAnsi="Calibri" w:cs="Calibri"/>
      <w:color w:val="000000"/>
      <w:sz w:val="16"/>
    </w:rPr>
  </w:style>
  <w:style w:type="character" w:customStyle="1" w:styleId="footnotedescriptionChar">
    <w:name w:val="footnote description Char"/>
    <w:link w:val="footnotedescription"/>
    <w:rPr>
      <w:rFonts w:ascii="Calibri" w:eastAsia="Calibri" w:hAnsi="Calibri" w:cs="Calibri"/>
      <w:color w:val="000000"/>
      <w:sz w:val="16"/>
    </w:rPr>
  </w:style>
  <w:style w:type="character" w:customStyle="1" w:styleId="Heading1Char">
    <w:name w:val="Heading 1 Char"/>
    <w:link w:val="Heading1"/>
    <w:rPr>
      <w:rFonts w:ascii="Calibri" w:eastAsia="Calibri" w:hAnsi="Calibri" w:cs="Calibri"/>
      <w:b/>
      <w:color w:val="000000"/>
      <w:sz w:val="24"/>
    </w:rPr>
  </w:style>
  <w:style w:type="character" w:customStyle="1" w:styleId="Heading2Char">
    <w:name w:val="Heading 2 Char"/>
    <w:link w:val="Heading2"/>
    <w:rPr>
      <w:rFonts w:ascii="Calibri" w:eastAsia="Calibri" w:hAnsi="Calibri" w:cs="Calibri"/>
      <w:b/>
      <w:color w:val="000000"/>
      <w:sz w:val="24"/>
    </w:rPr>
  </w:style>
  <w:style w:type="character" w:customStyle="1" w:styleId="footnotemark">
    <w:name w:val="footnote mark"/>
    <w:hidden/>
    <w:rPr>
      <w:rFonts w:ascii="Calibri" w:eastAsia="Calibri" w:hAnsi="Calibri" w:cs="Calibri"/>
      <w:color w:val="000000"/>
      <w:sz w:val="16"/>
      <w:vertAlign w:val="superscript"/>
    </w:rPr>
  </w:style>
  <w:style w:type="paragraph" w:styleId="Footer">
    <w:name w:val="footer"/>
    <w:basedOn w:val="Normal"/>
    <w:link w:val="FooterChar"/>
    <w:uiPriority w:val="99"/>
    <w:unhideWhenUsed/>
    <w:rsid w:val="005544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487"/>
    <w:rPr>
      <w:rFonts w:ascii="Calibri" w:eastAsia="Calibri" w:hAnsi="Calibri" w:cs="Calibri"/>
      <w:color w:val="000000"/>
      <w:sz w:val="24"/>
    </w:rPr>
  </w:style>
  <w:style w:type="character" w:styleId="PageNumber">
    <w:name w:val="page number"/>
    <w:basedOn w:val="DefaultParagraphFont"/>
    <w:rsid w:val="003A24A9"/>
  </w:style>
  <w:style w:type="paragraph" w:styleId="Header">
    <w:name w:val="header"/>
    <w:basedOn w:val="Normal"/>
    <w:link w:val="HeaderChar"/>
    <w:rsid w:val="003A24A9"/>
    <w:pPr>
      <w:pBdr>
        <w:top w:val="single" w:sz="4" w:space="1" w:color="auto"/>
      </w:pBdr>
      <w:tabs>
        <w:tab w:val="right" w:pos="9360"/>
      </w:tabs>
      <w:spacing w:after="0" w:line="240" w:lineRule="auto"/>
      <w:ind w:left="0" w:firstLine="0"/>
      <w:jc w:val="right"/>
    </w:pPr>
    <w:rPr>
      <w:rFonts w:ascii="Arial" w:eastAsia="Times New Roman" w:hAnsi="Arial" w:cs="Times New Roman"/>
      <w:b/>
      <w:i/>
      <w:color w:val="auto"/>
      <w:sz w:val="16"/>
      <w:szCs w:val="20"/>
    </w:rPr>
  </w:style>
  <w:style w:type="character" w:customStyle="1" w:styleId="HeaderChar">
    <w:name w:val="Header Char"/>
    <w:basedOn w:val="DefaultParagraphFont"/>
    <w:link w:val="Header"/>
    <w:rsid w:val="00B55AAE"/>
    <w:rPr>
      <w:rFonts w:ascii="Arial" w:eastAsia="Times New Roman" w:hAnsi="Arial" w:cs="Times New Roman"/>
      <w:b/>
      <w:i/>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hipaa.yale.edu/sites/default/files/files/5038-PR.pdf" TargetMode="External" /><Relationship Id="rId11" Type="http://schemas.openxmlformats.org/officeDocument/2006/relationships/hyperlink" Target="https://your.yale.edu/work-yale/benefits/health-and-wellness/employee-assistance-program" TargetMode="External" /><Relationship Id="rId12" Type="http://schemas.openxmlformats.org/officeDocument/2006/relationships/hyperlink" Target="https://your.yale.edu/work-yale/benefits/health-and-wellness/employee-assistance-program" TargetMode="External" /><Relationship Id="rId13" Type="http://schemas.openxmlformats.org/officeDocument/2006/relationships/hyperlink" Target="https://your.yale.edu/work-yale/benefits/health-and-wellness/employee-assistance-program" TargetMode="External" /><Relationship Id="rId14" Type="http://schemas.openxmlformats.org/officeDocument/2006/relationships/hyperlink" Target="https://www.achievesolutions.net/achievesolutions/en/ynhhs/Home.do" TargetMode="External" /><Relationship Id="rId15" Type="http://schemas.openxmlformats.org/officeDocument/2006/relationships/hyperlink" Target="https://www.achievesolutions.net/achievesolutions/en/ynhhs/Home.do" TargetMode="External" /><Relationship Id="rId16" Type="http://schemas.openxmlformats.org/officeDocument/2006/relationships/hyperlink" Target="https://vimeo.com/ynhh/review/146812496/51cd60fabe" TargetMode="External" /><Relationship Id="rId17" Type="http://schemas.openxmlformats.org/officeDocument/2006/relationships/hyperlink" Target="https://vimeo.com/ynhh/review/146812496/51cd60fabe" TargetMode="External" /><Relationship Id="rId18" Type="http://schemas.openxmlformats.org/officeDocument/2006/relationships/hyperlink" Target="http://www.mitss.org/clinicians_home.html" TargetMode="External" /><Relationship Id="rId19" Type="http://schemas.openxmlformats.org/officeDocument/2006/relationships/hyperlink" Target="http://www.mitss.org/clinicians_home.html" TargetMode="External" /><Relationship Id="rId2" Type="http://schemas.openxmlformats.org/officeDocument/2006/relationships/endnotes" Target="endnotes.xml" /><Relationship Id="rId20" Type="http://schemas.openxmlformats.org/officeDocument/2006/relationships/image" Target="media/image1.jpeg" /><Relationship Id="rId21" Type="http://schemas.openxmlformats.org/officeDocument/2006/relationships/image" Target="media/image2.jpeg" /><Relationship Id="rId22" Type="http://schemas.openxmlformats.org/officeDocument/2006/relationships/image" Target="media/image3.jpeg" /><Relationship Id="rId23" Type="http://schemas.openxmlformats.org/officeDocument/2006/relationships/header" Target="header1.xml" /><Relationship Id="rId24" Type="http://schemas.openxmlformats.org/officeDocument/2006/relationships/header" Target="header2.xml" /><Relationship Id="rId25" Type="http://schemas.openxmlformats.org/officeDocument/2006/relationships/footer" Target="footer1.xml" /><Relationship Id="rId26" Type="http://schemas.openxmlformats.org/officeDocument/2006/relationships/header" Target="header3.xml" /><Relationship Id="rId27" Type="http://schemas.openxmlformats.org/officeDocument/2006/relationships/footer" Target="footer2.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settings" Target="settings.xml" /><Relationship Id="rId30"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hyperlink" Target="http://hipaa.yale.edu/sites/default/files/files/5038-PR.pdf"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pressganey.com/docs/default-source/default-document-library/hpi-white-paper---sec-amp-sser-measurement-system-rev-2-may-2011.pdf?sfvrsn=0" TargetMode="External" /><Relationship Id="rId2" Type="http://schemas.openxmlformats.org/officeDocument/2006/relationships/hyperlink" Target="https://www.pressganey.com/docs/default-source/default-document-library/hpi-white-paper---sec-amp-sser-measurement-system-rev-2-may-2011.pdf?sfvrsn=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A6CE7E-AEA3-4F36-9AF8-6DC89D7B2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9C3DA8-052C-4A1F-9567-90BB8FA926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29540D-9772-41AA-8696-8A8DB03FD2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1657</Words>
  <Characters>9451</Characters>
  <Application>Microsoft Office Word</Application>
  <DocSecurity>0</DocSecurity>
  <Lines>78</Lines>
  <Paragraphs>22</Paragraphs>
  <ScaleCrop>false</ScaleCrop>
  <Company/>
  <LinksUpToDate>false</LinksUpToDate>
  <CharactersWithSpaces>11086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Disclosure of Adverse Outcomes and Events of Harm</dc:title>
  <dc:creator>Broadwater, Deborah</dc:creator>
  <cp:lastModifiedBy>Maisano, Julianna</cp:lastModifiedBy>
  <cp:revision>5</cp:revision>
  <dcterms:created xsi:type="dcterms:W3CDTF">2023-02-06T19:58:00Z</dcterms:created>
  <dcterms:modified xsi:type="dcterms:W3CDTF">2023-03-20T20:48:00Z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