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BB4BC0" w:rsidP="00BB4BC0" w14:paraId="294B2ADB" w14:textId="03FD3366">
      <w:pPr>
        <w:pStyle w:val="SectionHeading"/>
        <w:numPr>
          <w:ilvl w:val="0"/>
          <w:numId w:val="11"/>
        </w:numPr>
        <w:spacing w:after="0"/>
        <w:ind w:left="720" w:hanging="720"/>
        <w:contextualSpacing w:val="0"/>
        <w:rPr>
          <w:color w:val="365F91" w:themeColor="accent1" w:themeShade="BF"/>
          <w:sz w:val="28"/>
          <w:szCs w:val="28"/>
        </w:rPr>
        <w:sectPr w:rsidSect="00641FF8">
          <w:footerReference w:type="default" r:id="rId10"/>
          <w:headerReference w:type="first" r:id="rId11"/>
          <w:footerReference w:type="first" r:id="rId12"/>
          <w:type w:val="continuous"/>
          <w:pgSz w:w="12240" w:h="15840" w:code="1"/>
          <w:pgMar w:top="1440" w:right="1440" w:bottom="1440" w:left="1440" w:header="720" w:footer="720" w:gutter="0"/>
          <w:cols w:space="720"/>
          <w:titlePg/>
        </w:sectPr>
      </w:pPr>
      <w:r w:rsidRPr="00BB4BC0">
        <w:rPr>
          <w:color w:val="365F91" w:themeColor="accent1" w:themeShade="BF"/>
          <w:sz w:val="28"/>
          <w:szCs w:val="28"/>
        </w:rPr>
        <w:t>Scope</w:t>
      </w:r>
    </w:p>
    <w:p w:rsidR="00CC43B6" w:rsidP="001E513A" w14:paraId="48A83AEB" w14:textId="5FF51518">
      <w:pPr>
        <w:keepNext/>
        <w:spacing w:after="120" w:line="276" w:lineRule="auto"/>
        <w:ind w:left="720"/>
        <w:outlineLvl w:val="0"/>
        <w:rPr>
          <w:rFonts w:cs="Arial"/>
        </w:rPr>
      </w:pPr>
      <w:r>
        <w:t>This procedure applies to all studies in which the Yale Center for Clinical Investigation (YCCI) provides clinical research support when Yale is a study site. Studies being conducted with Yale Center for Clinical Investigation (YCCI) clinical research support will have a COV</w:t>
      </w:r>
      <w:r w:rsidR="00D32189">
        <w:t xml:space="preserve"> (close out visit)</w:t>
      </w:r>
      <w:r>
        <w:t xml:space="preserve"> once study completion occurs. Studies that were IRB-approved but did not open to enrollment at Yale or did not ultimately accrue any subjects at Yale may also have a COV.</w:t>
      </w:r>
    </w:p>
    <w:p w:rsidR="007D39A2" w:rsidRPr="00BB4BC0" w:rsidP="00635318" w14:paraId="0BBB395A" w14:textId="2A614D33">
      <w:pPr>
        <w:pStyle w:val="SectionHeading"/>
        <w:numPr>
          <w:ilvl w:val="0"/>
          <w:numId w:val="11"/>
        </w:numPr>
        <w:spacing w:before="240" w:after="240" w:line="276" w:lineRule="auto"/>
        <w:ind w:left="720" w:hanging="720"/>
        <w:rPr>
          <w:color w:val="365F91" w:themeColor="accent1" w:themeShade="BF"/>
          <w:sz w:val="28"/>
          <w:szCs w:val="28"/>
        </w:rPr>
      </w:pPr>
      <w:r w:rsidRPr="00BB4BC0">
        <w:rPr>
          <w:color w:val="365F91" w:themeColor="accent1" w:themeShade="BF"/>
          <w:sz w:val="28"/>
          <w:szCs w:val="28"/>
        </w:rPr>
        <w:t>Purpose</w:t>
      </w:r>
      <w:r w:rsidRPr="00BB4BC0" w:rsidR="0019604E">
        <w:rPr>
          <w:color w:val="365F91" w:themeColor="accent1" w:themeShade="BF"/>
          <w:sz w:val="28"/>
          <w:szCs w:val="28"/>
        </w:rPr>
        <w:t xml:space="preserve"> </w:t>
      </w:r>
    </w:p>
    <w:p w:rsidR="00EF41B7" w:rsidRPr="00F53AA7" w:rsidP="00F53AA7" w14:paraId="6CA93DD9" w14:textId="4706CE62">
      <w:pPr>
        <w:keepNext/>
        <w:spacing w:after="120" w:line="276" w:lineRule="auto"/>
        <w:ind w:left="720"/>
        <w:outlineLvl w:val="0"/>
      </w:pPr>
      <w:r w:rsidRPr="00D32189">
        <w:t xml:space="preserve">This </w:t>
      </w:r>
      <w:r w:rsidR="002C7D72">
        <w:t>Standard Operating Procedure (</w:t>
      </w:r>
      <w:r w:rsidRPr="00D32189">
        <w:t>SOP</w:t>
      </w:r>
      <w:r w:rsidR="002C7D72">
        <w:t>)</w:t>
      </w:r>
      <w:r w:rsidRPr="00D32189">
        <w:t xml:space="preserve"> addresses preparations for scheduling and conducting the close out visit (COV), as well as follow-up activities and action items associated with the visit once the visit has been completed</w:t>
      </w:r>
      <w:r w:rsidR="006F33D4">
        <w:t>.</w:t>
      </w:r>
    </w:p>
    <w:p w:rsidR="00754DF2" w:rsidRPr="00BB4BC0" w:rsidP="00635318" w14:paraId="7B442FD9" w14:textId="1292D232">
      <w:pPr>
        <w:pStyle w:val="SectionHeading"/>
        <w:numPr>
          <w:ilvl w:val="0"/>
          <w:numId w:val="11"/>
        </w:numPr>
        <w:ind w:left="720" w:hanging="720"/>
        <w:contextualSpacing w:val="0"/>
        <w:rPr>
          <w:color w:val="365F91" w:themeColor="accent1" w:themeShade="BF"/>
          <w:sz w:val="28"/>
          <w:szCs w:val="28"/>
        </w:rPr>
      </w:pPr>
      <w:r w:rsidRPr="00BB4BC0">
        <w:rPr>
          <w:color w:val="365F91" w:themeColor="accent1" w:themeShade="BF"/>
          <w:sz w:val="28"/>
          <w:szCs w:val="28"/>
        </w:rPr>
        <w:t>Definitions</w:t>
      </w:r>
      <w:r w:rsidRPr="00BB4BC0" w:rsidR="00575B4E">
        <w:rPr>
          <w:color w:val="365F91" w:themeColor="accent1" w:themeShade="BF"/>
          <w:sz w:val="28"/>
          <w:szCs w:val="28"/>
        </w:rPr>
        <w:t xml:space="preserve"> and Abbreviations</w:t>
      </w:r>
    </w:p>
    <w:p w:rsidR="00090BE0" w:rsidRPr="00EB3516" w:rsidP="001E513A" w14:paraId="27F68A7C" w14:textId="77777777">
      <w:pPr>
        <w:spacing w:line="276" w:lineRule="auto"/>
        <w:ind w:left="720"/>
        <w:rPr>
          <w:rFonts w:cs="Arial"/>
        </w:rPr>
      </w:pPr>
      <w:bookmarkStart w:id="0" w:name="_Toc425171621"/>
      <w:r w:rsidRPr="00090BE0">
        <w:rPr>
          <w:rFonts w:cs="Arial"/>
          <w:b/>
          <w:bCs/>
        </w:rPr>
        <w:t>Advarra eRegulatory Management System (eReg)</w:t>
      </w:r>
      <w:r w:rsidRPr="00EB3516">
        <w:rPr>
          <w:rFonts w:cs="Arial"/>
        </w:rPr>
        <w:t xml:space="preserve"> - An electronic regulatory binder maintenance system that allows organizations to store essential protocol documents, staff credentials, and organizational regulatory tracking documents. Advarra eReg allows users to share staff credentials and organizational regulatory tracking documents between protocols and manage effective and valid until dates on documents and URLs. Documents that require signature can be routed for electronic signature in a manner that is compliant with 21 CFR Part 11. Study staff, mo</w:t>
      </w:r>
      <w:r w:rsidRPr="00EB3516">
        <w:rPr>
          <w:rFonts w:cs="Arial"/>
        </w:rPr>
        <w:t>nitors, auditors and inspectors’ access Advarra eReg via web-based interface. Review sessions can be configured, allowing Sponsors the ability to remotely monitor regulatory binders.</w:t>
      </w:r>
    </w:p>
    <w:p w:rsidR="00090BE0" w:rsidRPr="00710970" w:rsidP="001E513A" w14:paraId="382B8C64" w14:textId="77777777">
      <w:pPr>
        <w:spacing w:line="276" w:lineRule="auto"/>
        <w:rPr>
          <w:rFonts w:cs="Arial"/>
        </w:rPr>
      </w:pPr>
    </w:p>
    <w:p w:rsidR="00090BE0" w:rsidRPr="00EB3516" w:rsidP="001E513A" w14:paraId="79B5ADE5" w14:textId="112728B2">
      <w:pPr>
        <w:spacing w:line="276" w:lineRule="auto"/>
        <w:ind w:left="720"/>
        <w:rPr>
          <w:rFonts w:cs="Arial"/>
        </w:rPr>
      </w:pPr>
      <w:r w:rsidRPr="31F4E288">
        <w:rPr>
          <w:rFonts w:cs="Arial"/>
          <w:b/>
          <w:bCs/>
        </w:rPr>
        <w:t>Adverse Event (AE)</w:t>
      </w:r>
      <w:r w:rsidRPr="31F4E288">
        <w:rPr>
          <w:rFonts w:cs="Arial"/>
        </w:rPr>
        <w:t xml:space="preserve"> - Any unfavorable medical occurrence in a trial participant administered the investigational product. The adverse event does not necessarily have a causal relationship with the treatment.</w:t>
      </w:r>
    </w:p>
    <w:p w:rsidR="00090BE0" w:rsidRPr="00710970" w:rsidP="001E513A" w14:paraId="49DD14AA" w14:textId="77777777">
      <w:pPr>
        <w:spacing w:line="276" w:lineRule="auto"/>
        <w:rPr>
          <w:rFonts w:cs="Arial"/>
        </w:rPr>
      </w:pPr>
    </w:p>
    <w:p w:rsidR="00090BE0" w:rsidRPr="00EB3516" w:rsidP="001E513A" w14:paraId="416E9BF1" w14:textId="77777777">
      <w:pPr>
        <w:spacing w:line="276" w:lineRule="auto"/>
        <w:ind w:left="720"/>
        <w:rPr>
          <w:rFonts w:cs="Arial"/>
        </w:rPr>
      </w:pPr>
      <w:r w:rsidRPr="00090BE0">
        <w:rPr>
          <w:rFonts w:cs="Arial"/>
          <w:b/>
          <w:bCs/>
        </w:rPr>
        <w:t>ALCOA-C Criteria</w:t>
      </w:r>
      <w:r w:rsidRPr="00EB3516">
        <w:rPr>
          <w:rFonts w:cs="Arial"/>
        </w:rPr>
        <w:t xml:space="preserve"> – Source data should be attributable (clear who made the entry), legible (easily read and understood), contemporaneous (recorded, signed, and dated at the time of the trial conduct), original (the first place the information was recorded), accurate (reflect what occurred) and complete (final with no missing information).</w:t>
      </w:r>
    </w:p>
    <w:p w:rsidR="00090BE0" w:rsidRPr="00710970" w:rsidP="001E513A" w14:paraId="4B6152C1" w14:textId="77777777">
      <w:pPr>
        <w:spacing w:line="276" w:lineRule="auto"/>
        <w:rPr>
          <w:rFonts w:cs="Arial"/>
        </w:rPr>
      </w:pPr>
    </w:p>
    <w:p w:rsidR="00090BE0" w:rsidRPr="00EB3516" w:rsidP="001E513A" w14:paraId="6FB086A9" w14:textId="1652FAB6">
      <w:pPr>
        <w:spacing w:line="276" w:lineRule="auto"/>
        <w:ind w:left="720"/>
        <w:rPr>
          <w:rFonts w:cs="Arial"/>
        </w:rPr>
      </w:pPr>
      <w:r w:rsidRPr="31F4E288">
        <w:rPr>
          <w:rFonts w:cs="Arial"/>
          <w:b/>
          <w:bCs/>
        </w:rPr>
        <w:t>Case Report Forms (CRF)</w:t>
      </w:r>
      <w:r w:rsidRPr="31F4E288">
        <w:rPr>
          <w:rFonts w:cs="Arial"/>
        </w:rPr>
        <w:t xml:space="preserve"> – A data acquisition tool designed to record protocol-required information to be reported by the investigator to the sponsor on each trial participant.</w:t>
      </w:r>
    </w:p>
    <w:p w:rsidR="00090BE0" w:rsidRPr="00710970" w:rsidP="001E513A" w14:paraId="622AE559" w14:textId="77777777">
      <w:pPr>
        <w:spacing w:line="276" w:lineRule="auto"/>
        <w:rPr>
          <w:rFonts w:cs="Arial"/>
        </w:rPr>
      </w:pPr>
    </w:p>
    <w:p w:rsidR="00090BE0" w:rsidRPr="00EB3516" w:rsidP="001E513A" w14:paraId="22AD6D29" w14:textId="77777777">
      <w:pPr>
        <w:spacing w:line="276" w:lineRule="auto"/>
        <w:ind w:left="720"/>
        <w:rPr>
          <w:rFonts w:cs="Arial"/>
        </w:rPr>
      </w:pPr>
      <w:r w:rsidRPr="00090BE0">
        <w:rPr>
          <w:rFonts w:cs="Arial"/>
          <w:b/>
          <w:bCs/>
        </w:rPr>
        <w:t>Close Out Visit (COV)</w:t>
      </w:r>
      <w:r w:rsidRPr="00EB3516">
        <w:rPr>
          <w:rFonts w:cs="Arial"/>
        </w:rPr>
        <w:t xml:space="preserve"> - A final site visit by a monitor that must be conducted after a study has been completed, suspended, or terminated for any reason.</w:t>
      </w:r>
    </w:p>
    <w:p w:rsidR="00090BE0" w:rsidRPr="00710970" w:rsidP="31F4E288" w14:paraId="2E70A1FA" w14:textId="645D9022">
      <w:pPr>
        <w:spacing w:line="276" w:lineRule="auto"/>
        <w:rPr>
          <w:rFonts w:cs="Arial"/>
        </w:rPr>
      </w:pPr>
    </w:p>
    <w:p w:rsidR="00090BE0" w:rsidRPr="00710970" w:rsidP="31F4E288" w14:paraId="63A177AB" w14:textId="4D0CFB90">
      <w:pPr>
        <w:spacing w:line="276" w:lineRule="auto"/>
        <w:ind w:left="720"/>
        <w:rPr>
          <w:rFonts w:cs="Arial"/>
        </w:rPr>
      </w:pPr>
      <w:r w:rsidRPr="31F4E288">
        <w:rPr>
          <w:rFonts w:cs="Arial"/>
          <w:b/>
          <w:bCs/>
        </w:rPr>
        <w:t xml:space="preserve">Monitor </w:t>
      </w:r>
      <w:r w:rsidRPr="31F4E288">
        <w:rPr>
          <w:rFonts w:cs="Arial"/>
        </w:rPr>
        <w:t>- The person who periodically oversees the progress of a clinical study and ensures that it is conducted, recorded, and reported in accordance with the protocol, SOPs, GCP and applicable regulatory requirement(s). The lead monitor is the monitor who assumes a supervisory role when more than one monitor participates in the monitoring of a clinical study.</w:t>
      </w:r>
    </w:p>
    <w:p w:rsidR="31F4E288" w:rsidP="007A1327" w14:paraId="652F497A" w14:textId="369E269A">
      <w:pPr>
        <w:pStyle w:val="BodyText"/>
        <w:tabs>
          <w:tab w:val="left" w:pos="720"/>
        </w:tabs>
        <w:ind w:left="720"/>
        <w:rPr>
          <w:rFonts w:cs="Arial"/>
        </w:rPr>
      </w:pPr>
      <w:r w:rsidRPr="31F4E288">
        <w:rPr>
          <w:b/>
          <w:bCs/>
        </w:rPr>
        <w:t>Serious Adverse Event (SAE)</w:t>
      </w:r>
      <w:r>
        <w:t>: Any unfavorable medical occurrence that is considered serious at any dose if it:</w:t>
      </w:r>
    </w:p>
    <w:p w:rsidR="31F4E288" w:rsidP="007A1327" w14:paraId="0389E1DE" w14:textId="11C3F020">
      <w:pPr>
        <w:pStyle w:val="BodyText"/>
        <w:numPr>
          <w:ilvl w:val="0"/>
          <w:numId w:val="1"/>
        </w:numPr>
        <w:tabs>
          <w:tab w:val="left" w:pos="1080"/>
        </w:tabs>
        <w:ind w:firstLine="270"/>
      </w:pPr>
      <w:r>
        <w:t>Results in death,</w:t>
      </w:r>
    </w:p>
    <w:p w:rsidR="31F4E288" w:rsidP="007A1327" w14:paraId="67A633AA" w14:textId="0256C98D">
      <w:pPr>
        <w:pStyle w:val="BodyText"/>
        <w:numPr>
          <w:ilvl w:val="0"/>
          <w:numId w:val="1"/>
        </w:numPr>
        <w:tabs>
          <w:tab w:val="left" w:pos="1080"/>
        </w:tabs>
        <w:ind w:firstLine="270"/>
      </w:pPr>
      <w:r>
        <w:t>Is life-threatening,</w:t>
      </w:r>
    </w:p>
    <w:p w:rsidR="31F4E288" w:rsidP="007A1327" w14:paraId="562DA457" w14:textId="72F90CB4">
      <w:pPr>
        <w:pStyle w:val="BodyText"/>
        <w:numPr>
          <w:ilvl w:val="0"/>
          <w:numId w:val="1"/>
        </w:numPr>
        <w:tabs>
          <w:tab w:val="left" w:pos="1080"/>
        </w:tabs>
        <w:ind w:firstLine="270"/>
      </w:pPr>
      <w:r>
        <w:t>Requires inpatient hospitalization or prolongation of existing hospitalization,</w:t>
      </w:r>
    </w:p>
    <w:p w:rsidR="31F4E288" w:rsidP="007A1327" w14:paraId="43C88DBD" w14:textId="0E0A13E7">
      <w:pPr>
        <w:pStyle w:val="BodyText"/>
        <w:numPr>
          <w:ilvl w:val="0"/>
          <w:numId w:val="1"/>
        </w:numPr>
        <w:tabs>
          <w:tab w:val="left" w:pos="1080"/>
        </w:tabs>
        <w:ind w:firstLine="270"/>
      </w:pPr>
      <w:r>
        <w:t>Results in persistent or significant disability/incapacity, or</w:t>
      </w:r>
    </w:p>
    <w:p w:rsidR="31F4E288" w:rsidP="007A1327" w14:paraId="50D35836" w14:textId="4AC07098">
      <w:pPr>
        <w:pStyle w:val="BodyText"/>
        <w:numPr>
          <w:ilvl w:val="0"/>
          <w:numId w:val="1"/>
        </w:numPr>
        <w:tabs>
          <w:tab w:val="left" w:pos="1080"/>
        </w:tabs>
        <w:ind w:firstLine="270"/>
      </w:pPr>
      <w:r>
        <w:t>Is a congenital anomaly/birth defect.</w:t>
      </w:r>
    </w:p>
    <w:p w:rsidR="31F4E288" w:rsidP="007A1327" w14:paraId="34DBBFCD" w14:textId="45A2B730">
      <w:pPr>
        <w:pStyle w:val="BodyText"/>
        <w:tabs>
          <w:tab w:val="left" w:pos="720"/>
        </w:tabs>
        <w:ind w:left="720"/>
      </w:pPr>
    </w:p>
    <w:p w:rsidR="31F4E288" w:rsidRPr="007A1327" w:rsidP="007A1327" w14:paraId="09249EC1" w14:textId="348A17E3">
      <w:pPr>
        <w:pStyle w:val="BodyText"/>
        <w:tabs>
          <w:tab w:val="left" w:pos="720"/>
        </w:tabs>
        <w:ind w:left="720"/>
      </w:pPr>
      <w:r>
        <w:t>An important medical event that may not be immediately life-threatening or result in death or hospitalization, that may jeopardize the participant or that may require intervention to prevent serious outcomes (see ICH E2A and E19) should generally be considered as serious.</w:t>
      </w:r>
    </w:p>
    <w:p w:rsidR="31F4E288" w:rsidP="31F4E288" w14:paraId="45FDB714" w14:textId="44FBCEC6">
      <w:pPr>
        <w:spacing w:line="276" w:lineRule="auto"/>
        <w:ind w:left="720"/>
        <w:rPr>
          <w:rFonts w:cs="Arial"/>
        </w:rPr>
      </w:pPr>
      <w:r w:rsidRPr="31F4E288">
        <w:rPr>
          <w:rFonts w:cs="Arial"/>
          <w:b/>
          <w:bCs/>
        </w:rPr>
        <w:t>S</w:t>
      </w:r>
      <w:r w:rsidRPr="31F4E288">
        <w:rPr>
          <w:rFonts w:cs="Arial"/>
          <w:b/>
          <w:bCs/>
        </w:rPr>
        <w:t xml:space="preserve">ervice Provider </w:t>
      </w:r>
      <w:r w:rsidRPr="31F4E288">
        <w:rPr>
          <w:rFonts w:cs="Arial"/>
        </w:rPr>
        <w:t>- A person or organization (commercial, academic or other) providing a service used by either the sponsor or the investigator to fulfil trial-related activities.</w:t>
      </w:r>
      <w:r>
        <w:br/>
      </w:r>
    </w:p>
    <w:p w:rsidR="00090BE0" w:rsidRPr="00EB3516" w:rsidP="001E513A" w14:paraId="25D3E3A8" w14:textId="77777777">
      <w:pPr>
        <w:spacing w:line="276" w:lineRule="auto"/>
        <w:ind w:left="720"/>
        <w:rPr>
          <w:rFonts w:cs="Arial"/>
        </w:rPr>
      </w:pPr>
      <w:r w:rsidRPr="00090BE0">
        <w:rPr>
          <w:rFonts w:cs="Arial"/>
          <w:b/>
          <w:bCs/>
        </w:rPr>
        <w:t>Source Data</w:t>
      </w:r>
      <w:r w:rsidRPr="00EB3516">
        <w:rPr>
          <w:rFonts w:cs="Arial"/>
        </w:rPr>
        <w:t xml:space="preserve"> - All information in original records and certified copies of original records of clinical findings, observations, or other activities in a clinical study/trial necessary for the reconstruction and evaluation of the study. Source data are contained in source documents (original records or certified copies). </w:t>
      </w:r>
    </w:p>
    <w:p w:rsidR="00090BE0" w:rsidRPr="00711429" w:rsidP="001E513A" w14:paraId="4CD17361" w14:textId="77777777">
      <w:pPr>
        <w:spacing w:line="276" w:lineRule="auto"/>
        <w:rPr>
          <w:rFonts w:cs="Arial"/>
        </w:rPr>
      </w:pPr>
    </w:p>
    <w:p w:rsidR="00711429" w:rsidRPr="00711429" w:rsidP="001E513A" w14:paraId="03618BDE" w14:textId="54317054">
      <w:pPr>
        <w:spacing w:line="276" w:lineRule="auto"/>
        <w:ind w:left="720"/>
        <w:rPr>
          <w:rFonts w:cs="Arial"/>
        </w:rPr>
      </w:pPr>
      <w:r w:rsidRPr="31F4E288">
        <w:rPr>
          <w:rFonts w:cs="Arial"/>
          <w:b/>
          <w:bCs/>
        </w:rPr>
        <w:t>Source Records</w:t>
      </w:r>
      <w:r w:rsidRPr="31F4E288">
        <w:rPr>
          <w:rFonts w:cs="Arial"/>
        </w:rPr>
        <w:t>– Original documents or data (which includes relevant metadata) or certified copies of the original documents or data, irrespective of the media used. This may include trial participants’ medical/health records/notes/charts; data provided/entered by trial participants (e.g., electronic patient-reported outcomes (ePROs)); healthcare professionals’ records from pharmacies, laboratories and other facilities involved in the clinical trial; and data from automated instruments, such as wearables and sensors.</w:t>
      </w:r>
      <w:r w:rsidR="007A1327">
        <w:br/>
      </w:r>
    </w:p>
    <w:p w:rsidR="00090BE0" w:rsidRPr="00EB3516" w:rsidP="001E513A" w14:paraId="65AC0C91" w14:textId="183BED5F">
      <w:pPr>
        <w:spacing w:line="276" w:lineRule="auto"/>
        <w:ind w:left="720"/>
        <w:rPr>
          <w:rFonts w:cs="Arial"/>
        </w:rPr>
      </w:pPr>
      <w:r w:rsidRPr="31F4E288">
        <w:rPr>
          <w:rFonts w:cs="Arial"/>
          <w:b/>
          <w:bCs/>
        </w:rPr>
        <w:t xml:space="preserve">Sponsor </w:t>
      </w:r>
      <w:r w:rsidRPr="31F4E288">
        <w:rPr>
          <w:rFonts w:cs="Arial"/>
        </w:rPr>
        <w:t>- An individual, company, institution or organization that takes responsibility for the initiation, management and arrangement of the financing of a clinical trial. A clinical trial may have one or several sponsors where permitted under regulatory requirements. All sponsors have the responsibilities of a sponsor set out in this guideline. In accordance with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1B7499" w:rsidRPr="00BB4BC0" w:rsidP="00635318" w14:paraId="2AA46097" w14:textId="303A015D">
      <w:pPr>
        <w:pStyle w:val="SectionHeading"/>
        <w:numPr>
          <w:ilvl w:val="0"/>
          <w:numId w:val="11"/>
        </w:numPr>
        <w:ind w:left="720" w:hanging="720"/>
        <w:contextualSpacing w:val="0"/>
        <w:rPr>
          <w:color w:val="365F91" w:themeColor="accent1" w:themeShade="BF"/>
          <w:sz w:val="28"/>
          <w:szCs w:val="28"/>
        </w:rPr>
      </w:pPr>
      <w:r w:rsidRPr="00BB4BC0">
        <w:rPr>
          <w:color w:val="365F91" w:themeColor="accent1" w:themeShade="BF"/>
          <w:sz w:val="28"/>
          <w:szCs w:val="28"/>
        </w:rPr>
        <w:t>P</w:t>
      </w:r>
      <w:r w:rsidRPr="00BB4BC0" w:rsidR="00E427FB">
        <w:rPr>
          <w:color w:val="365F91" w:themeColor="accent1" w:themeShade="BF"/>
          <w:sz w:val="28"/>
          <w:szCs w:val="28"/>
        </w:rPr>
        <w:t>rocedure</w:t>
      </w:r>
      <w:r w:rsidRPr="00BB4BC0">
        <w:rPr>
          <w:color w:val="365F91" w:themeColor="accent1" w:themeShade="BF"/>
          <w:sz w:val="28"/>
          <w:szCs w:val="28"/>
        </w:rPr>
        <w:t xml:space="preserve"> </w:t>
      </w:r>
      <w:bookmarkStart w:id="1" w:name="_Toc427373286"/>
      <w:bookmarkStart w:id="2" w:name="_Toc425171622"/>
      <w:bookmarkStart w:id="3" w:name="_Toc425171625"/>
      <w:bookmarkEnd w:id="0"/>
    </w:p>
    <w:p w:rsidR="00A4468C" w:rsidRPr="00EB3516" w:rsidP="07CF9BF8" w14:paraId="3FE9D8CD" w14:textId="2EDF9461">
      <w:pPr>
        <w:pStyle w:val="ListParagraph"/>
        <w:spacing w:line="276" w:lineRule="auto"/>
        <w:rPr>
          <w:rFonts w:cs="Arial"/>
        </w:rPr>
      </w:pPr>
      <w:r w:rsidRPr="07CF9BF8">
        <w:rPr>
          <w:rFonts w:cs="Arial"/>
        </w:rPr>
        <w:t xml:space="preserve">Under FDA regulations, study completion occurs when all study subjects have completed the study at the investigative site. Federally funded research is considered complete after all data has been analyzed. A study may also end because the PI suspends or stops participation, the IRB suspends or stops approval of the study, the FDA suspends or stops approval of the clinical trial, </w:t>
      </w:r>
      <w:r w:rsidRPr="07CF9BF8">
        <w:rPr>
          <w:rFonts w:cs="Arial"/>
        </w:rPr>
        <w:t xml:space="preserve">or the Sponsor terminates the study. </w:t>
      </w:r>
      <w:r w:rsidR="00A5401F">
        <w:br/>
      </w:r>
    </w:p>
    <w:p w:rsidR="00A4468C" w:rsidP="07CF9BF8" w14:paraId="2D2D0B94" w14:textId="77A3968A">
      <w:pPr>
        <w:pStyle w:val="ListParagraph"/>
        <w:spacing w:line="276" w:lineRule="auto"/>
        <w:rPr>
          <w:rFonts w:cs="Arial"/>
        </w:rPr>
      </w:pPr>
      <w:r w:rsidRPr="07CF9BF8">
        <w:rPr>
          <w:rFonts w:cs="Arial"/>
        </w:rPr>
        <w:t>Investigators, research staff and others involved in the conduct of clinical research will allocate adequate time for close out activities. The Principal Investigator or their designee also will ensure that the monitor or other compliance or quality assurance reviewer is given access to study-related documents (including electronic medical records or certified copies) and study-related facilities (e.g., pharmacy, diagnostic laboratory, investigational product storage facilities, etc.) and has adequate space</w:t>
      </w:r>
      <w:r w:rsidRPr="07CF9BF8">
        <w:rPr>
          <w:rFonts w:cs="Arial"/>
        </w:rPr>
        <w:t xml:space="preserve"> to conduct the close out visit.</w:t>
      </w:r>
    </w:p>
    <w:p w:rsidR="001118C6" w:rsidP="00A4468C" w14:paraId="45F51976" w14:textId="77777777">
      <w:pPr>
        <w:pStyle w:val="ListParagraph"/>
        <w:spacing w:line="276" w:lineRule="auto"/>
        <w:rPr>
          <w:rFonts w:cs="Arial"/>
          <w:bCs/>
        </w:rPr>
      </w:pPr>
    </w:p>
    <w:p w:rsidR="001118C6" w:rsidRPr="006D7C8C" w:rsidP="006D7C8C" w14:paraId="7AFF1A16" w14:textId="2525B3C3">
      <w:pPr>
        <w:pStyle w:val="ListParagraph"/>
        <w:spacing w:before="120" w:line="276" w:lineRule="auto"/>
        <w:rPr>
          <w:rFonts w:cs="Arial"/>
          <w:bCs/>
        </w:rPr>
      </w:pPr>
      <w:r w:rsidRPr="001118C6">
        <w:rPr>
          <w:rFonts w:cs="Arial"/>
          <w:bCs/>
        </w:rPr>
        <w:t>The objectives of the COV include but are not limited to:</w:t>
      </w:r>
      <w:r w:rsidR="006D7C8C">
        <w:rPr>
          <w:rFonts w:cs="Arial"/>
          <w:bCs/>
        </w:rPr>
        <w:br/>
      </w:r>
    </w:p>
    <w:p w:rsidR="001118C6" w:rsidRPr="001118C6" w:rsidP="00635318" w14:paraId="2798BE92" w14:textId="74909ADA">
      <w:pPr>
        <w:pStyle w:val="ListParagraph"/>
        <w:numPr>
          <w:ilvl w:val="0"/>
          <w:numId w:val="14"/>
        </w:numPr>
        <w:spacing w:before="120" w:line="276" w:lineRule="auto"/>
        <w:rPr>
          <w:rFonts w:cs="Arial"/>
          <w:bCs/>
        </w:rPr>
      </w:pPr>
      <w:r w:rsidRPr="001118C6">
        <w:rPr>
          <w:rFonts w:cs="Arial"/>
          <w:bCs/>
        </w:rPr>
        <w:t>Ensure all documentation has been completed and provided to the Sponsor</w:t>
      </w:r>
    </w:p>
    <w:p w:rsidR="00F43A64" w:rsidP="00635318" w14:paraId="208910B5" w14:textId="77777777">
      <w:pPr>
        <w:pStyle w:val="ListParagraph"/>
        <w:numPr>
          <w:ilvl w:val="0"/>
          <w:numId w:val="14"/>
        </w:numPr>
        <w:spacing w:before="0" w:after="200" w:line="276" w:lineRule="auto"/>
        <w:rPr>
          <w:rFonts w:cs="Arial"/>
          <w:bCs/>
        </w:rPr>
      </w:pPr>
      <w:r w:rsidRPr="001118C6">
        <w:rPr>
          <w:rFonts w:cs="Arial"/>
          <w:bCs/>
        </w:rPr>
        <w:t>Ensure that all queries have been resolved and that CRFs are signed by the PI</w:t>
      </w:r>
    </w:p>
    <w:p w:rsidR="00F43A64" w:rsidP="00635318" w14:paraId="5841D636" w14:textId="77777777">
      <w:pPr>
        <w:pStyle w:val="ListParagraph"/>
        <w:numPr>
          <w:ilvl w:val="0"/>
          <w:numId w:val="14"/>
        </w:numPr>
        <w:spacing w:before="0" w:after="200" w:line="276" w:lineRule="auto"/>
        <w:rPr>
          <w:rFonts w:cs="Arial"/>
          <w:bCs/>
        </w:rPr>
      </w:pPr>
      <w:r w:rsidRPr="00F43A64">
        <w:rPr>
          <w:rFonts w:cs="Arial"/>
          <w:bCs/>
        </w:rPr>
        <w:t>Verify that all regulatory documents are up to date</w:t>
      </w:r>
    </w:p>
    <w:p w:rsidR="00F43A64" w:rsidP="00635318" w14:paraId="11BBCCE7" w14:textId="77777777">
      <w:pPr>
        <w:pStyle w:val="ListParagraph"/>
        <w:numPr>
          <w:ilvl w:val="0"/>
          <w:numId w:val="14"/>
        </w:numPr>
        <w:spacing w:before="0" w:after="200" w:line="276" w:lineRule="auto"/>
        <w:rPr>
          <w:rFonts w:cs="Arial"/>
          <w:bCs/>
        </w:rPr>
      </w:pPr>
      <w:r w:rsidRPr="00F43A64">
        <w:rPr>
          <w:rFonts w:cs="Arial"/>
          <w:bCs/>
        </w:rPr>
        <w:t>Confirm that investigational product is destroyed or sent back to the Sponsor, as applicable</w:t>
      </w:r>
    </w:p>
    <w:p w:rsidR="00F43A64" w:rsidP="00635318" w14:paraId="688A6D12" w14:textId="77777777">
      <w:pPr>
        <w:pStyle w:val="ListParagraph"/>
        <w:numPr>
          <w:ilvl w:val="0"/>
          <w:numId w:val="14"/>
        </w:numPr>
        <w:spacing w:before="0" w:after="200" w:line="276" w:lineRule="auto"/>
        <w:rPr>
          <w:rFonts w:cs="Arial"/>
          <w:bCs/>
        </w:rPr>
      </w:pPr>
      <w:r w:rsidRPr="00F43A64">
        <w:rPr>
          <w:rFonts w:cs="Arial"/>
          <w:bCs/>
        </w:rPr>
        <w:t>Confirm that study supplies are returned to the Sponsor, as applicable</w:t>
      </w:r>
    </w:p>
    <w:p w:rsidR="00F43A64" w:rsidP="00635318" w14:paraId="629F235F" w14:textId="77777777">
      <w:pPr>
        <w:pStyle w:val="ListParagraph"/>
        <w:numPr>
          <w:ilvl w:val="0"/>
          <w:numId w:val="14"/>
        </w:numPr>
        <w:spacing w:before="0" w:after="200" w:line="276" w:lineRule="auto"/>
        <w:rPr>
          <w:rFonts w:cs="Arial"/>
          <w:bCs/>
        </w:rPr>
      </w:pPr>
      <w:r w:rsidRPr="00F43A64">
        <w:rPr>
          <w:rFonts w:cs="Arial"/>
          <w:bCs/>
        </w:rPr>
        <w:t>Confirm the Sponsor’s expectations for financial disclosure, SAE, etc. reporting after study closure</w:t>
      </w:r>
    </w:p>
    <w:p w:rsidR="00F43A64" w:rsidRPr="00D003E1" w:rsidP="00D003E1" w14:paraId="7F76CAD7" w14:textId="2ABC0FBE">
      <w:pPr>
        <w:pStyle w:val="ListParagraph"/>
        <w:numPr>
          <w:ilvl w:val="0"/>
          <w:numId w:val="14"/>
        </w:numPr>
        <w:spacing w:before="0" w:after="200" w:line="276" w:lineRule="auto"/>
        <w:rPr>
          <w:rFonts w:cs="Arial"/>
          <w:bCs/>
        </w:rPr>
      </w:pPr>
      <w:r w:rsidRPr="00F43A64">
        <w:rPr>
          <w:rFonts w:cs="Arial"/>
          <w:bCs/>
        </w:rPr>
        <w:t>Verify that the Yale site meets criteria for IRB Study Closure</w:t>
      </w:r>
    </w:p>
    <w:bookmarkEnd w:id="1"/>
    <w:bookmarkEnd w:id="2"/>
    <w:p w:rsidR="00EF01EB" w:rsidP="00BA3D9C" w14:paraId="1F10AA78" w14:textId="252897EE">
      <w:pPr>
        <w:pStyle w:val="1-PolicySectionlevel"/>
        <w:numPr>
          <w:ilvl w:val="1"/>
          <w:numId w:val="11"/>
        </w:numPr>
        <w:spacing w:after="120"/>
      </w:pPr>
      <w:r>
        <w:t>S</w:t>
      </w:r>
      <w:bookmarkStart w:id="4" w:name="_Toc425171623"/>
      <w:r w:rsidR="00201E70">
        <w:t>cheduling a Close Out Visit</w:t>
      </w:r>
    </w:p>
    <w:p w:rsidR="0093792E" w:rsidRPr="008E1588" w:rsidP="00BA3D9C" w14:paraId="6A223793" w14:textId="6B178CC2">
      <w:pPr>
        <w:pStyle w:val="1-PolicySectionlevel"/>
        <w:numPr>
          <w:ilvl w:val="2"/>
          <w:numId w:val="11"/>
        </w:numPr>
        <w:spacing w:after="120"/>
        <w:ind w:left="2070"/>
        <w:contextualSpacing w:val="0"/>
        <w:rPr>
          <w:b w:val="0"/>
          <w:bCs w:val="0"/>
        </w:rPr>
      </w:pPr>
      <w:r w:rsidRPr="008E1588">
        <w:rPr>
          <w:rFonts w:cs="Arial"/>
          <w:b w:val="0"/>
          <w:bCs w:val="0"/>
        </w:rPr>
        <w:t xml:space="preserve">Responsible Personnel will </w:t>
      </w:r>
    </w:p>
    <w:p w:rsidR="008431D6" w:rsidP="008431D6" w14:paraId="637B9FE4" w14:textId="77777777">
      <w:pPr>
        <w:pStyle w:val="ListParagraph"/>
        <w:numPr>
          <w:ilvl w:val="0"/>
          <w:numId w:val="25"/>
        </w:numPr>
        <w:spacing w:before="120" w:line="276" w:lineRule="auto"/>
        <w:rPr>
          <w:rFonts w:cs="Arial"/>
          <w:bCs/>
        </w:rPr>
      </w:pPr>
      <w:r w:rsidRPr="008431D6">
        <w:rPr>
          <w:rFonts w:cs="Arial"/>
          <w:bCs/>
        </w:rPr>
        <w:t xml:space="preserve">work with the Monitor and Principal Investigator (PI) to schedule a mutually convenient date, time, and location to conduct the close out visit. </w:t>
      </w:r>
    </w:p>
    <w:p w:rsidR="008431D6" w:rsidRPr="008431D6" w:rsidP="008431D6" w14:paraId="34D957E6" w14:textId="77777777">
      <w:pPr>
        <w:pStyle w:val="ListParagraph"/>
        <w:numPr>
          <w:ilvl w:val="0"/>
          <w:numId w:val="25"/>
        </w:numPr>
        <w:spacing w:before="120" w:line="276" w:lineRule="auto"/>
        <w:rPr>
          <w:rFonts w:cs="Arial"/>
          <w:bCs/>
        </w:rPr>
      </w:pPr>
      <w:r w:rsidRPr="008431D6">
        <w:rPr>
          <w:rFonts w:cs="Arial"/>
          <w:color w:val="000000" w:themeColor="text1"/>
        </w:rPr>
        <w:t>confirm the scheduled visit with any other personnel or departments involved (i.e., the research pharmacist or unblinded staff).</w:t>
      </w:r>
    </w:p>
    <w:p w:rsidR="00595FF5" w:rsidRPr="008431D6" w:rsidP="07CF9BF8" w14:paraId="168C9F82" w14:textId="6D26DF89">
      <w:pPr>
        <w:pStyle w:val="ListParagraph"/>
        <w:numPr>
          <w:ilvl w:val="0"/>
          <w:numId w:val="25"/>
        </w:numPr>
        <w:spacing w:before="120" w:after="120" w:line="276" w:lineRule="auto"/>
        <w:rPr>
          <w:rFonts w:cs="Arial"/>
        </w:rPr>
      </w:pPr>
      <w:r w:rsidRPr="07CF9BF8">
        <w:rPr>
          <w:rFonts w:cs="Arial"/>
        </w:rPr>
        <w:t>reserve adequate visit space per the current Yale University Visitor Policy.</w:t>
      </w:r>
    </w:p>
    <w:bookmarkEnd w:id="4"/>
    <w:p w:rsidR="00B00C94" w:rsidP="00D94E7C" w14:paraId="045B767C" w14:textId="77777777">
      <w:pPr>
        <w:pStyle w:val="1-PolicySectionlevel"/>
        <w:numPr>
          <w:ilvl w:val="1"/>
          <w:numId w:val="11"/>
        </w:numPr>
        <w:spacing w:before="120" w:after="120"/>
        <w:contextualSpacing w:val="0"/>
      </w:pPr>
      <w:r>
        <w:t>Preparing for a Close Out Visit</w:t>
      </w:r>
    </w:p>
    <w:p w:rsidR="00E7464A" w:rsidRPr="00E7464A" w:rsidP="00BA3D9C" w14:paraId="460BA1BE" w14:textId="77777777">
      <w:pPr>
        <w:pStyle w:val="1-PolicySectionlevel"/>
        <w:numPr>
          <w:ilvl w:val="2"/>
          <w:numId w:val="11"/>
        </w:numPr>
        <w:spacing w:before="120" w:after="120"/>
        <w:ind w:left="2070"/>
        <w:contextualSpacing w:val="0"/>
        <w:rPr>
          <w:b w:val="0"/>
          <w:bCs w:val="0"/>
        </w:rPr>
      </w:pPr>
      <w:r w:rsidRPr="00B00C94">
        <w:rPr>
          <w:rFonts w:cs="Arial"/>
          <w:b w:val="0"/>
          <w:bCs w:val="0"/>
        </w:rPr>
        <w:t xml:space="preserve">Responsible Personnel </w:t>
      </w:r>
      <w:r w:rsidRPr="00B00C94" w:rsidR="004E3069">
        <w:rPr>
          <w:rFonts w:cs="Arial"/>
          <w:b w:val="0"/>
          <w:bCs w:val="0"/>
        </w:rPr>
        <w:t>will</w:t>
      </w:r>
      <w:r w:rsidRPr="00B00C94">
        <w:rPr>
          <w:rFonts w:cs="Arial"/>
          <w:b w:val="0"/>
          <w:bCs w:val="0"/>
        </w:rPr>
        <w:t xml:space="preserve"> </w:t>
      </w:r>
    </w:p>
    <w:p w:rsidR="00E7464A" w:rsidRPr="00E7464A" w:rsidP="008431D6" w14:paraId="5BE92F7C" w14:textId="77777777">
      <w:pPr>
        <w:pStyle w:val="1-PolicySectionlevel"/>
        <w:numPr>
          <w:ilvl w:val="0"/>
          <w:numId w:val="24"/>
        </w:numPr>
        <w:spacing w:before="0" w:after="100" w:afterAutospacing="1" w:line="276" w:lineRule="auto"/>
        <w:ind w:left="2434"/>
        <w:contextualSpacing w:val="0"/>
        <w:rPr>
          <w:b w:val="0"/>
          <w:bCs w:val="0"/>
        </w:rPr>
      </w:pPr>
      <w:r w:rsidRPr="00E7464A">
        <w:rPr>
          <w:rFonts w:cs="Arial"/>
          <w:b w:val="0"/>
          <w:bCs w:val="0"/>
        </w:rPr>
        <w:t>review contents of the regulatory files, CRFs and source documents in advance of the visit to ensure all are current and follow ALCOA-C criteria. Data queries issued to-date should be resolved, including follow-up of any open AEs or SAEs.</w:t>
      </w:r>
    </w:p>
    <w:p w:rsidR="00E7464A" w:rsidRPr="00E7464A" w:rsidP="07CF9BF8" w14:paraId="26B21C5E" w14:textId="1836C448">
      <w:pPr>
        <w:pStyle w:val="1-PolicySectionlevel"/>
        <w:numPr>
          <w:ilvl w:val="0"/>
          <w:numId w:val="24"/>
        </w:numPr>
        <w:spacing w:before="0" w:after="100" w:afterAutospacing="1" w:line="276" w:lineRule="auto"/>
        <w:ind w:left="2434"/>
        <w:rPr>
          <w:b w:val="0"/>
          <w:bCs w:val="0"/>
        </w:rPr>
      </w:pPr>
      <w:r w:rsidRPr="07CF9BF8">
        <w:rPr>
          <w:rFonts w:cs="Arial"/>
          <w:b w:val="0"/>
          <w:bCs w:val="0"/>
        </w:rPr>
        <w:t xml:space="preserve">review previous monitoring reports for any outstanding action items and </w:t>
      </w:r>
      <w:r w:rsidRPr="07CF9BF8" w:rsidR="00A5401F">
        <w:rPr>
          <w:rFonts w:cs="Arial"/>
          <w:b w:val="0"/>
          <w:bCs w:val="0"/>
        </w:rPr>
        <w:t xml:space="preserve">these should be </w:t>
      </w:r>
      <w:r w:rsidRPr="07CF9BF8">
        <w:rPr>
          <w:rFonts w:cs="Arial"/>
          <w:b w:val="0"/>
          <w:bCs w:val="0"/>
        </w:rPr>
        <w:t>address</w:t>
      </w:r>
      <w:r w:rsidRPr="07CF9BF8" w:rsidR="00A5401F">
        <w:rPr>
          <w:rFonts w:cs="Arial"/>
          <w:b w:val="0"/>
          <w:bCs w:val="0"/>
        </w:rPr>
        <w:t>ed</w:t>
      </w:r>
      <w:r w:rsidRPr="07CF9BF8">
        <w:rPr>
          <w:rFonts w:cs="Arial"/>
          <w:b w:val="0"/>
          <w:bCs w:val="0"/>
        </w:rPr>
        <w:t xml:space="preserve"> prior to the close out visit. </w:t>
      </w:r>
    </w:p>
    <w:p w:rsidR="00E7464A" w:rsidRPr="00E7464A" w:rsidP="008431D6" w14:paraId="573F989E" w14:textId="77777777">
      <w:pPr>
        <w:pStyle w:val="1-PolicySectionlevel"/>
        <w:numPr>
          <w:ilvl w:val="0"/>
          <w:numId w:val="24"/>
        </w:numPr>
        <w:spacing w:before="0" w:after="100" w:afterAutospacing="1" w:line="276" w:lineRule="auto"/>
        <w:ind w:left="2434"/>
        <w:contextualSpacing w:val="0"/>
        <w:rPr>
          <w:b w:val="0"/>
          <w:bCs w:val="0"/>
        </w:rPr>
      </w:pPr>
      <w:r w:rsidRPr="00E7464A">
        <w:rPr>
          <w:rFonts w:cs="Arial"/>
          <w:b w:val="0"/>
          <w:bCs w:val="0"/>
          <w:color w:val="000000" w:themeColor="text1"/>
        </w:rPr>
        <w:t>review inventory of investigational products, forms or other relevant study supplies and dispose of as required.</w:t>
      </w:r>
    </w:p>
    <w:p w:rsidR="00E7464A" w:rsidRPr="00E7464A" w:rsidP="008431D6" w14:paraId="37BE73F5" w14:textId="77777777">
      <w:pPr>
        <w:pStyle w:val="1-PolicySectionlevel"/>
        <w:numPr>
          <w:ilvl w:val="0"/>
          <w:numId w:val="24"/>
        </w:numPr>
        <w:spacing w:before="0" w:after="100" w:afterAutospacing="1" w:line="276" w:lineRule="auto"/>
        <w:ind w:left="2434"/>
        <w:contextualSpacing w:val="0"/>
        <w:rPr>
          <w:b w:val="0"/>
          <w:bCs w:val="0"/>
        </w:rPr>
      </w:pPr>
      <w:r w:rsidRPr="00E7464A">
        <w:rPr>
          <w:rFonts w:cs="Arial"/>
          <w:b w:val="0"/>
          <w:bCs w:val="0"/>
        </w:rPr>
        <w:t>ensure that specimens are stored, shipped, or destroyed as required.</w:t>
      </w:r>
    </w:p>
    <w:p w:rsidR="00FB674D" w:rsidRPr="00E7464A" w:rsidP="00D94E7C" w14:paraId="5E1C8E52" w14:textId="24D919C5">
      <w:pPr>
        <w:pStyle w:val="1-PolicySectionlevel"/>
        <w:numPr>
          <w:ilvl w:val="0"/>
          <w:numId w:val="24"/>
        </w:numPr>
        <w:spacing w:before="120" w:after="120" w:line="276" w:lineRule="auto"/>
        <w:ind w:left="2434"/>
        <w:contextualSpacing w:val="0"/>
        <w:rPr>
          <w:b w:val="0"/>
          <w:bCs w:val="0"/>
        </w:rPr>
      </w:pPr>
      <w:r w:rsidRPr="00E7464A">
        <w:rPr>
          <w:rFonts w:cs="Arial"/>
          <w:b w:val="0"/>
          <w:bCs w:val="0"/>
        </w:rPr>
        <w:t xml:space="preserve">request Monitor access to the Electronic Health Record (EHR), Advarra eRegulatory Management System (eReg), and Vestigo, as applicable. </w:t>
      </w:r>
    </w:p>
    <w:p w:rsidR="00803956" w:rsidP="00D94E7C" w14:paraId="77875B1A" w14:textId="77777777">
      <w:pPr>
        <w:pStyle w:val="1-PolicySectionlevel"/>
        <w:numPr>
          <w:ilvl w:val="1"/>
          <w:numId w:val="11"/>
        </w:numPr>
        <w:spacing w:before="120" w:after="120"/>
        <w:contextualSpacing w:val="0"/>
      </w:pPr>
      <w:r>
        <w:t>Close Out Visit and Follow-</w:t>
      </w:r>
      <w:r w:rsidR="00F91D0E">
        <w:t>u</w:t>
      </w:r>
      <w:r>
        <w:t>p</w:t>
      </w:r>
    </w:p>
    <w:p w:rsidR="001041CB" w:rsidRPr="00F418A6" w:rsidP="00BA3D9C" w14:paraId="5025AB1D" w14:textId="0D224A41">
      <w:pPr>
        <w:pStyle w:val="1-PolicySectionlevel"/>
        <w:numPr>
          <w:ilvl w:val="2"/>
          <w:numId w:val="11"/>
        </w:numPr>
        <w:spacing w:before="120" w:after="120"/>
        <w:ind w:left="2070"/>
        <w:contextualSpacing w:val="0"/>
        <w:rPr>
          <w:b w:val="0"/>
          <w:bCs w:val="0"/>
        </w:rPr>
      </w:pPr>
      <w:r w:rsidRPr="00F418A6">
        <w:rPr>
          <w:rFonts w:cs="Arial"/>
          <w:b w:val="0"/>
          <w:bCs w:val="0"/>
        </w:rPr>
        <w:t>For an on-site visit, Responsible Personnel will:</w:t>
      </w:r>
    </w:p>
    <w:p w:rsidR="00FF4D7D" w:rsidP="00FF4D7D" w14:paraId="7C260A16" w14:textId="77777777">
      <w:pPr>
        <w:pStyle w:val="ListParagraph"/>
        <w:numPr>
          <w:ilvl w:val="0"/>
          <w:numId w:val="20"/>
        </w:numPr>
        <w:spacing w:before="120" w:line="276" w:lineRule="auto"/>
        <w:ind w:left="2430"/>
        <w:rPr>
          <w:rFonts w:cs="Arial"/>
          <w:bCs/>
        </w:rPr>
      </w:pPr>
      <w:r w:rsidRPr="00FE508C">
        <w:rPr>
          <w:rFonts w:cs="Arial"/>
          <w:bCs/>
        </w:rPr>
        <w:t>meet the monitor at the scheduled time and escort them to the designated visit space</w:t>
      </w:r>
    </w:p>
    <w:p w:rsidR="00FF4D7D" w:rsidP="00FF4D7D" w14:paraId="0B0C21AC" w14:textId="77777777">
      <w:pPr>
        <w:pStyle w:val="ListParagraph"/>
        <w:numPr>
          <w:ilvl w:val="0"/>
          <w:numId w:val="20"/>
        </w:numPr>
        <w:spacing w:before="120" w:line="276" w:lineRule="auto"/>
        <w:ind w:left="2430"/>
        <w:rPr>
          <w:rFonts w:cs="Arial"/>
          <w:bCs/>
        </w:rPr>
      </w:pPr>
      <w:r w:rsidRPr="00FF4D7D">
        <w:rPr>
          <w:rFonts w:cs="Arial"/>
          <w:bCs/>
        </w:rPr>
        <w:t>review the schedule for the visit and any specific areas the Monitor is interested in addressing during the visit</w:t>
      </w:r>
    </w:p>
    <w:p w:rsidR="00FF4D7D" w:rsidP="00FF4D7D" w14:paraId="2353229D" w14:textId="77777777">
      <w:pPr>
        <w:pStyle w:val="ListParagraph"/>
        <w:numPr>
          <w:ilvl w:val="0"/>
          <w:numId w:val="20"/>
        </w:numPr>
        <w:spacing w:before="120" w:line="276" w:lineRule="auto"/>
        <w:ind w:left="2430"/>
        <w:rPr>
          <w:rFonts w:cs="Arial"/>
          <w:bCs/>
        </w:rPr>
      </w:pPr>
      <w:r w:rsidRPr="00FF4D7D">
        <w:rPr>
          <w:rFonts w:cs="Arial"/>
          <w:bCs/>
        </w:rPr>
        <w:t>be available to assist, answer questions, and make introductions</w:t>
      </w:r>
    </w:p>
    <w:p w:rsidR="00FF4D7D" w:rsidP="00FF4D7D" w14:paraId="62DD112D" w14:textId="77777777">
      <w:pPr>
        <w:pStyle w:val="ListParagraph"/>
        <w:numPr>
          <w:ilvl w:val="0"/>
          <w:numId w:val="20"/>
        </w:numPr>
        <w:spacing w:before="120" w:line="276" w:lineRule="auto"/>
        <w:ind w:left="2430"/>
        <w:rPr>
          <w:rFonts w:cs="Arial"/>
          <w:bCs/>
        </w:rPr>
      </w:pPr>
      <w:r w:rsidRPr="00FF4D7D">
        <w:rPr>
          <w:rFonts w:cs="Arial"/>
          <w:bCs/>
        </w:rPr>
        <w:t xml:space="preserve">complete any data and/or essential document clarifications as necessary </w:t>
      </w:r>
    </w:p>
    <w:p w:rsidR="00FF4D7D" w:rsidP="00FF4D7D" w14:paraId="01274B7F" w14:textId="77777777">
      <w:pPr>
        <w:pStyle w:val="ListParagraph"/>
        <w:numPr>
          <w:ilvl w:val="0"/>
          <w:numId w:val="20"/>
        </w:numPr>
        <w:spacing w:before="120" w:line="276" w:lineRule="auto"/>
        <w:ind w:left="2430"/>
        <w:rPr>
          <w:rFonts w:cs="Arial"/>
          <w:bCs/>
        </w:rPr>
      </w:pPr>
      <w:r w:rsidRPr="00FF4D7D">
        <w:rPr>
          <w:rFonts w:cs="Arial"/>
          <w:bCs/>
        </w:rPr>
        <w:t>escort the Monitor to any other area that Monitor requires, including the pharmacy and clinic areas</w:t>
      </w:r>
    </w:p>
    <w:p w:rsidR="00FF4D7D" w:rsidP="07CF9BF8" w14:paraId="2C190A79" w14:textId="1910E294">
      <w:pPr>
        <w:pStyle w:val="ListParagraph"/>
        <w:numPr>
          <w:ilvl w:val="0"/>
          <w:numId w:val="20"/>
        </w:numPr>
        <w:spacing w:before="120" w:line="276" w:lineRule="auto"/>
        <w:ind w:left="2430"/>
        <w:rPr>
          <w:rFonts w:cs="Arial"/>
        </w:rPr>
      </w:pPr>
      <w:r w:rsidRPr="07CF9BF8">
        <w:rPr>
          <w:rFonts w:cs="Arial"/>
        </w:rPr>
        <w:t>return all study materials and essential documents to their secure areas at the end of each monitoring day</w:t>
      </w:r>
    </w:p>
    <w:p w:rsidR="00D13719" w:rsidRPr="00FF4D7D" w:rsidP="00FF4D7D" w14:paraId="01AADC69" w14:textId="46E075EE">
      <w:pPr>
        <w:pStyle w:val="ListParagraph"/>
        <w:numPr>
          <w:ilvl w:val="0"/>
          <w:numId w:val="20"/>
        </w:numPr>
        <w:spacing w:before="120" w:line="276" w:lineRule="auto"/>
        <w:ind w:left="2430"/>
        <w:rPr>
          <w:rFonts w:cs="Arial"/>
          <w:bCs/>
        </w:rPr>
      </w:pPr>
      <w:r w:rsidRPr="00FF4D7D">
        <w:rPr>
          <w:rFonts w:cs="Arial"/>
          <w:bCs/>
        </w:rPr>
        <w:t>document the visit day(s) in the Monitoring Visit Log</w:t>
      </w:r>
    </w:p>
    <w:p w:rsidR="00D13719" w:rsidRPr="00480ECE" w:rsidP="00BA3D9C" w14:paraId="1979A88F" w14:textId="6A4CE96A">
      <w:pPr>
        <w:pStyle w:val="1-PolicySectionlevel"/>
        <w:numPr>
          <w:ilvl w:val="2"/>
          <w:numId w:val="11"/>
        </w:numPr>
        <w:spacing w:before="120" w:after="120"/>
        <w:ind w:left="2070"/>
        <w:contextualSpacing w:val="0"/>
        <w:rPr>
          <w:b w:val="0"/>
          <w:bCs w:val="0"/>
        </w:rPr>
      </w:pPr>
      <w:r w:rsidRPr="00480ECE">
        <w:rPr>
          <w:b w:val="0"/>
          <w:bCs w:val="0"/>
        </w:rPr>
        <w:t>For a remote visit, Responsible Personnel will:</w:t>
      </w:r>
    </w:p>
    <w:p w:rsidR="009F0B59" w:rsidP="009F0B59" w14:paraId="61C42BE0" w14:textId="77777777">
      <w:pPr>
        <w:pStyle w:val="ListParagraph"/>
        <w:numPr>
          <w:ilvl w:val="0"/>
          <w:numId w:val="21"/>
        </w:numPr>
        <w:spacing w:before="120" w:line="276" w:lineRule="auto"/>
        <w:rPr>
          <w:rFonts w:cs="Arial"/>
          <w:bCs/>
        </w:rPr>
      </w:pPr>
      <w:r w:rsidRPr="009F0B59">
        <w:rPr>
          <w:rFonts w:cs="Arial"/>
          <w:bCs/>
        </w:rPr>
        <w:t>schedule time to work with the Monitor during the visit through phone call and/or video conferencing</w:t>
      </w:r>
    </w:p>
    <w:p w:rsidR="009F0B59" w:rsidP="009F0B59" w14:paraId="6E2B90BB" w14:textId="77777777">
      <w:pPr>
        <w:pStyle w:val="ListParagraph"/>
        <w:numPr>
          <w:ilvl w:val="0"/>
          <w:numId w:val="21"/>
        </w:numPr>
        <w:spacing w:before="120" w:line="276" w:lineRule="auto"/>
        <w:rPr>
          <w:rFonts w:cs="Arial"/>
          <w:bCs/>
        </w:rPr>
      </w:pPr>
      <w:r w:rsidRPr="009F0B59">
        <w:rPr>
          <w:rFonts w:cs="Arial"/>
          <w:bCs/>
        </w:rPr>
        <w:t>review the schedule for the visit and any specific areas the Monitor is interested in addressing during the visit</w:t>
      </w:r>
    </w:p>
    <w:p w:rsidR="009F0B59" w:rsidP="009F0B59" w14:paraId="5080236A" w14:textId="77777777">
      <w:pPr>
        <w:pStyle w:val="ListParagraph"/>
        <w:numPr>
          <w:ilvl w:val="0"/>
          <w:numId w:val="21"/>
        </w:numPr>
        <w:spacing w:before="120" w:line="276" w:lineRule="auto"/>
        <w:rPr>
          <w:rFonts w:cs="Arial"/>
          <w:bCs/>
        </w:rPr>
      </w:pPr>
      <w:r w:rsidRPr="009F0B59">
        <w:rPr>
          <w:rFonts w:cs="Arial"/>
          <w:bCs/>
        </w:rPr>
        <w:t xml:space="preserve">be available to assist, answer questions, and make introductions </w:t>
      </w:r>
    </w:p>
    <w:p w:rsidR="009F0B59" w:rsidP="009F0B59" w14:paraId="27F28866" w14:textId="77777777">
      <w:pPr>
        <w:pStyle w:val="ListParagraph"/>
        <w:numPr>
          <w:ilvl w:val="0"/>
          <w:numId w:val="21"/>
        </w:numPr>
        <w:spacing w:before="120" w:line="276" w:lineRule="auto"/>
        <w:rPr>
          <w:rFonts w:cs="Arial"/>
          <w:bCs/>
        </w:rPr>
      </w:pPr>
      <w:r w:rsidRPr="009F0B59">
        <w:rPr>
          <w:rFonts w:cs="Arial"/>
          <w:bCs/>
        </w:rPr>
        <w:t>facilitate remote review of the regulatory files, pharmacy files, etc., as applicable</w:t>
      </w:r>
    </w:p>
    <w:p w:rsidR="009F0B59" w:rsidP="009F0B59" w14:paraId="1606E4EB" w14:textId="77777777">
      <w:pPr>
        <w:pStyle w:val="ListParagraph"/>
        <w:numPr>
          <w:ilvl w:val="0"/>
          <w:numId w:val="21"/>
        </w:numPr>
        <w:spacing w:before="120" w:line="276" w:lineRule="auto"/>
        <w:rPr>
          <w:rFonts w:cs="Arial"/>
          <w:bCs/>
        </w:rPr>
      </w:pPr>
      <w:r w:rsidRPr="009F0B59">
        <w:rPr>
          <w:rFonts w:cs="Arial"/>
          <w:bCs/>
        </w:rPr>
        <w:t xml:space="preserve">complete any data and/or essential document clarifications as necessary </w:t>
      </w:r>
    </w:p>
    <w:p w:rsidR="009F0B59" w:rsidP="009F0B59" w14:paraId="0A1A4771" w14:textId="77777777">
      <w:pPr>
        <w:pStyle w:val="ListParagraph"/>
        <w:numPr>
          <w:ilvl w:val="0"/>
          <w:numId w:val="21"/>
        </w:numPr>
        <w:spacing w:before="120" w:line="276" w:lineRule="auto"/>
        <w:rPr>
          <w:rFonts w:cs="Arial"/>
          <w:bCs/>
        </w:rPr>
      </w:pPr>
      <w:r w:rsidRPr="009F0B59">
        <w:rPr>
          <w:rFonts w:cs="Arial"/>
          <w:bCs/>
        </w:rPr>
        <w:t>ensure remote access to study files is terminated appropriately at the end of the visit day(s)</w:t>
      </w:r>
    </w:p>
    <w:p w:rsidR="00962AEA" w:rsidRPr="009F0B59" w:rsidP="009F0B59" w14:paraId="1E8F7635" w14:textId="4C378C9D">
      <w:pPr>
        <w:pStyle w:val="ListParagraph"/>
        <w:numPr>
          <w:ilvl w:val="0"/>
          <w:numId w:val="21"/>
        </w:numPr>
        <w:spacing w:before="120" w:line="276" w:lineRule="auto"/>
        <w:rPr>
          <w:rFonts w:cs="Arial"/>
          <w:bCs/>
        </w:rPr>
      </w:pPr>
      <w:r w:rsidRPr="009F0B59">
        <w:rPr>
          <w:rFonts w:cs="Arial"/>
          <w:bCs/>
        </w:rPr>
        <w:t>document the visit day(s) in the Monitoring Visit Log</w:t>
      </w:r>
    </w:p>
    <w:p w:rsidR="001041CB" w:rsidRPr="00480ECE" w:rsidP="00BA3D9C" w14:paraId="597E62BB" w14:textId="4F205182">
      <w:pPr>
        <w:pStyle w:val="1-PolicySectionlevel"/>
        <w:numPr>
          <w:ilvl w:val="2"/>
          <w:numId w:val="11"/>
        </w:numPr>
        <w:spacing w:before="120" w:after="120"/>
        <w:ind w:left="2070"/>
        <w:contextualSpacing w:val="0"/>
        <w:rPr>
          <w:b w:val="0"/>
          <w:bCs w:val="0"/>
        </w:rPr>
      </w:pPr>
      <w:r w:rsidRPr="00480ECE">
        <w:rPr>
          <w:b w:val="0"/>
          <w:bCs w:val="0"/>
        </w:rPr>
        <w:t>At the end of the visit, Responsible Personnel will:</w:t>
      </w:r>
    </w:p>
    <w:p w:rsidR="009F0B59" w:rsidRPr="009F0B59" w:rsidP="07CF9BF8" w14:paraId="5B175CF0" w14:textId="0814C771">
      <w:pPr>
        <w:pStyle w:val="ListParagraph"/>
        <w:numPr>
          <w:ilvl w:val="0"/>
          <w:numId w:val="23"/>
        </w:numPr>
        <w:spacing w:before="120" w:line="276" w:lineRule="auto"/>
        <w:rPr>
          <w:rFonts w:cs="Arial"/>
        </w:rPr>
      </w:pPr>
      <w:r w:rsidRPr="07CF9BF8">
        <w:rPr>
          <w:rFonts w:cs="Arial"/>
          <w:color w:val="000000" w:themeColor="text1"/>
        </w:rPr>
        <w:t>discuss action items and review any outstanding items with the Monitor and other members of the research staff</w:t>
      </w:r>
    </w:p>
    <w:p w:rsidR="009F0B59" w:rsidP="07CF9BF8" w14:paraId="1E65A4CE" w14:textId="3BA74E2F">
      <w:pPr>
        <w:pStyle w:val="ListParagraph"/>
        <w:numPr>
          <w:ilvl w:val="0"/>
          <w:numId w:val="23"/>
        </w:numPr>
        <w:spacing w:before="120" w:line="276" w:lineRule="auto"/>
        <w:rPr>
          <w:rFonts w:cs="Arial"/>
        </w:rPr>
      </w:pPr>
      <w:r w:rsidRPr="07CF9BF8">
        <w:rPr>
          <w:rFonts w:cs="Arial"/>
        </w:rPr>
        <w:t>make every effort to resolve all queries within the timelines specified in the follow-up report, if one has been provided</w:t>
      </w:r>
    </w:p>
    <w:p w:rsidR="009F0B59" w:rsidP="07CF9BF8" w14:paraId="0CBF4EB4" w14:textId="306AAAF9">
      <w:pPr>
        <w:pStyle w:val="ListParagraph"/>
        <w:numPr>
          <w:ilvl w:val="0"/>
          <w:numId w:val="23"/>
        </w:numPr>
        <w:spacing w:before="120" w:line="276" w:lineRule="auto"/>
      </w:pPr>
      <w:r w:rsidRPr="07CF9BF8">
        <w:rPr>
          <w:rFonts w:cs="Arial"/>
        </w:rPr>
        <w:t>notify the IRB that the study has ended by completing and submitting the appropriate IRB documentation</w:t>
      </w:r>
    </w:p>
    <w:p w:rsidR="009F0B59" w:rsidP="009F0B59" w14:paraId="54F1D680" w14:textId="77777777">
      <w:pPr>
        <w:pStyle w:val="ListParagraph"/>
        <w:numPr>
          <w:ilvl w:val="0"/>
          <w:numId w:val="23"/>
        </w:numPr>
        <w:spacing w:before="120" w:line="276" w:lineRule="auto"/>
        <w:rPr>
          <w:rFonts w:cs="Arial"/>
          <w:bCs/>
        </w:rPr>
      </w:pPr>
      <w:r w:rsidRPr="07CF9BF8">
        <w:rPr>
          <w:rFonts w:cs="Arial"/>
        </w:rPr>
        <w:t>notify the billing team that the COV occurred so that they may invoice accordingly</w:t>
      </w:r>
    </w:p>
    <w:p w:rsidR="008426AB" w:rsidRPr="00B23CAF" w:rsidP="00D94E7C" w14:paraId="3117D798" w14:textId="3863EC8D">
      <w:pPr>
        <w:pStyle w:val="ListParagraph"/>
        <w:numPr>
          <w:ilvl w:val="0"/>
          <w:numId w:val="23"/>
        </w:numPr>
        <w:spacing w:before="120" w:after="120" w:line="276" w:lineRule="auto"/>
        <w:rPr>
          <w:rFonts w:cs="Arial"/>
          <w:bCs/>
        </w:rPr>
      </w:pPr>
      <w:r w:rsidRPr="07CF9BF8">
        <w:rPr>
          <w:rFonts w:cs="Arial"/>
        </w:rPr>
        <w:t>maintain and store study documents per Yale HRPP Policy and in accordance with the protocol</w:t>
      </w:r>
    </w:p>
    <w:p w:rsidR="000774D4" w:rsidP="00D94E7C" w14:paraId="0D7DA1C3" w14:textId="53D91800">
      <w:pPr>
        <w:pStyle w:val="1-PolicySectionlevel"/>
        <w:numPr>
          <w:ilvl w:val="1"/>
          <w:numId w:val="11"/>
        </w:numPr>
        <w:spacing w:before="120" w:after="120"/>
        <w:contextualSpacing w:val="0"/>
      </w:pPr>
      <w:r>
        <w:rPr>
          <w:rFonts w:cs="Arial"/>
          <w:bCs w:val="0"/>
        </w:rPr>
        <w:t xml:space="preserve"> </w:t>
      </w:r>
      <w:r>
        <w:t>Training</w:t>
      </w:r>
      <w:bookmarkEnd w:id="3"/>
    </w:p>
    <w:p w:rsidR="000774D4" w:rsidRPr="000774D4" w:rsidP="00C04213" w14:paraId="6A3B69C0" w14:textId="24E82A8C">
      <w:pPr>
        <w:pStyle w:val="1-PolicySectionlevel"/>
        <w:numPr>
          <w:ilvl w:val="0"/>
          <w:numId w:val="0"/>
        </w:numPr>
        <w:spacing w:before="120" w:line="276" w:lineRule="auto"/>
        <w:ind w:left="720"/>
        <w:contextualSpacing w:val="0"/>
        <w:rPr>
          <w:b w:val="0"/>
          <w:bCs w:val="0"/>
        </w:rPr>
      </w:pPr>
      <w:r w:rsidRPr="00C854EF">
        <w:rPr>
          <w:b w:val="0"/>
          <w:bCs w:val="0"/>
        </w:rPr>
        <w:t>All responsible personnel listed within this SOP will receive training appropriate to their role and level of responsibility.</w:t>
      </w:r>
    </w:p>
    <w:p w:rsidR="00BA3D9C" w:rsidRPr="00BB4BC0" w:rsidP="00BA3D9C" w14:paraId="192E873B" w14:textId="77777777">
      <w:pPr>
        <w:pStyle w:val="SectionHeading"/>
        <w:numPr>
          <w:ilvl w:val="0"/>
          <w:numId w:val="11"/>
        </w:numPr>
        <w:spacing w:before="240" w:line="276" w:lineRule="auto"/>
        <w:ind w:left="720" w:hanging="720"/>
        <w:rPr>
          <w:color w:val="365F91" w:themeColor="accent1" w:themeShade="BF"/>
          <w:sz w:val="28"/>
          <w:szCs w:val="28"/>
        </w:rPr>
      </w:pPr>
      <w:r w:rsidRPr="00BB4BC0">
        <w:rPr>
          <w:color w:val="365F91" w:themeColor="accent1" w:themeShade="BF"/>
          <w:sz w:val="28"/>
          <w:szCs w:val="28"/>
        </w:rPr>
        <w:t>Roles and Responsibilities</w:t>
      </w:r>
    </w:p>
    <w:p w:rsidR="00EB1A68" w:rsidP="00EB1A68" w14:paraId="5263E743" w14:textId="77777777">
      <w:pPr>
        <w:pStyle w:val="BodyText"/>
        <w:numPr>
          <w:ilvl w:val="0"/>
          <w:numId w:val="26"/>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EB1A68" w:rsidP="00EB1A68" w14:paraId="5DABCF07" w14:textId="77777777">
      <w:pPr>
        <w:pStyle w:val="BodyText"/>
        <w:spacing w:line="276" w:lineRule="auto"/>
        <w:ind w:left="1080"/>
        <w:jc w:val="both"/>
        <w:rPr>
          <w:rFonts w:cs="Arial"/>
        </w:rPr>
      </w:pPr>
    </w:p>
    <w:p w:rsidR="00EB1A68" w:rsidP="00EB1A68" w14:paraId="233229A5" w14:textId="77777777">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p>
    <w:p w:rsidR="00EB1A68" w:rsidP="00EB1A68" w14:paraId="56745A35" w14:textId="77777777">
      <w:pPr>
        <w:pStyle w:val="BodyText"/>
        <w:spacing w:line="276" w:lineRule="auto"/>
        <w:ind w:left="720"/>
        <w:jc w:val="both"/>
        <w:rPr>
          <w:rFonts w:cs="Arial"/>
        </w:rPr>
      </w:pPr>
    </w:p>
    <w:p w:rsidR="00EB1A68" w:rsidP="00EB1A68" w14:paraId="48B59718" w14:textId="77777777">
      <w:pPr>
        <w:pStyle w:val="BodyText"/>
        <w:numPr>
          <w:ilvl w:val="0"/>
          <w:numId w:val="26"/>
        </w:numPr>
        <w:spacing w:line="276" w:lineRule="auto"/>
        <w:ind w:left="1080"/>
        <w:jc w:val="both"/>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 conduct study-related duties as authorized by the Principal Investigator in accordance with GCP </w:t>
      </w:r>
      <w:r>
        <w:rPr>
          <w:rFonts w:cs="Arial"/>
        </w:rPr>
        <w:t>and Yale policies and applicable governing regulations</w:t>
      </w:r>
      <w:r w:rsidRPr="00491760">
        <w:rPr>
          <w:rFonts w:cs="Arial"/>
        </w:rPr>
        <w:t>.</w:t>
      </w:r>
      <w:r>
        <w:rPr>
          <w:rFonts w:cs="Arial"/>
        </w:rPr>
        <w:t xml:space="preserve"> The following study personnel may be delegated study tasks with documentation of appropriate training and experience:</w:t>
      </w:r>
    </w:p>
    <w:p w:rsidR="00BA3D9C" w:rsidRPr="000C2BFD" w:rsidP="00BC0128" w14:paraId="7DBE21BC" w14:textId="77777777">
      <w:pPr>
        <w:pStyle w:val="ListParagraph"/>
        <w:numPr>
          <w:ilvl w:val="0"/>
          <w:numId w:val="28"/>
        </w:numPr>
        <w:spacing w:line="276" w:lineRule="auto"/>
        <w:ind w:left="1440"/>
        <w:rPr>
          <w:rFonts w:cs="Arial"/>
          <w:bCs/>
        </w:rPr>
      </w:pPr>
      <w:r w:rsidRPr="000C2BFD">
        <w:rPr>
          <w:rFonts w:cs="Arial"/>
          <w:bCs/>
        </w:rPr>
        <w:t>Sub-Investigator (Sub-I)</w:t>
      </w:r>
    </w:p>
    <w:p w:rsidR="00BA3D9C" w:rsidRPr="000C2BFD" w:rsidP="00BC0128" w14:paraId="1B83B0CF" w14:textId="77777777">
      <w:pPr>
        <w:pStyle w:val="ListParagraph"/>
        <w:numPr>
          <w:ilvl w:val="0"/>
          <w:numId w:val="28"/>
        </w:numPr>
        <w:spacing w:line="276" w:lineRule="auto"/>
        <w:ind w:left="1440"/>
        <w:rPr>
          <w:rFonts w:cs="Arial"/>
          <w:bCs/>
        </w:rPr>
      </w:pPr>
      <w:r w:rsidRPr="000C2BFD">
        <w:rPr>
          <w:rFonts w:cs="Arial"/>
          <w:bCs/>
        </w:rPr>
        <w:t>Clinic Staff</w:t>
      </w:r>
    </w:p>
    <w:p w:rsidR="00BA3D9C" w:rsidRPr="000C2BFD" w:rsidP="00BC0128" w14:paraId="2622BFD4" w14:textId="506FF809">
      <w:pPr>
        <w:pStyle w:val="ListParagraph"/>
        <w:numPr>
          <w:ilvl w:val="0"/>
          <w:numId w:val="28"/>
        </w:numPr>
        <w:spacing w:line="276" w:lineRule="auto"/>
        <w:ind w:left="1440"/>
        <w:rPr>
          <w:rFonts w:cs="Arial"/>
          <w:bCs/>
        </w:rPr>
      </w:pPr>
      <w:r w:rsidRPr="000C2BFD">
        <w:rPr>
          <w:rFonts w:cs="Arial"/>
          <w:bCs/>
        </w:rPr>
        <w:t>Clinical Research Coordinator</w:t>
      </w:r>
      <w:r>
        <w:rPr>
          <w:rFonts w:cs="Arial"/>
          <w:bCs/>
        </w:rPr>
        <w:t xml:space="preserve"> (CRC)</w:t>
      </w:r>
    </w:p>
    <w:p w:rsidR="00D32903" w:rsidRPr="00E82549" w:rsidP="00BC0128" w14:paraId="70B3E932" w14:textId="653BCBCB">
      <w:pPr>
        <w:pStyle w:val="ListParagraph"/>
        <w:numPr>
          <w:ilvl w:val="0"/>
          <w:numId w:val="28"/>
        </w:numPr>
        <w:spacing w:line="276" w:lineRule="auto"/>
        <w:ind w:left="1440"/>
        <w:rPr>
          <w:rFonts w:cs="Arial"/>
          <w:bCs/>
        </w:rPr>
      </w:pPr>
      <w:r w:rsidRPr="07CF9BF8">
        <w:rPr>
          <w:rFonts w:cs="Arial"/>
        </w:rPr>
        <w:t>Nurse Clinical Research Coordinator</w:t>
      </w:r>
      <w:r>
        <w:rPr>
          <w:rFonts w:cs="Arial"/>
        </w:rPr>
        <w:t xml:space="preserve"> (NCRC)</w:t>
      </w:r>
    </w:p>
    <w:p w:rsidR="00E82549" w:rsidRPr="00E82549" w:rsidP="00E82549" w14:paraId="68713349" w14:textId="0814B38F">
      <w:pPr>
        <w:pStyle w:val="ListParagraph"/>
        <w:numPr>
          <w:ilvl w:val="0"/>
          <w:numId w:val="28"/>
        </w:numPr>
        <w:spacing w:line="276" w:lineRule="auto"/>
        <w:ind w:left="1440"/>
        <w:rPr>
          <w:rFonts w:cs="Arial"/>
          <w:bCs/>
        </w:rPr>
      </w:pPr>
      <w:r w:rsidRPr="07CF9BF8">
        <w:rPr>
          <w:rFonts w:cs="Arial"/>
        </w:rPr>
        <w:t>Research Assistant</w:t>
      </w:r>
    </w:p>
    <w:p w:rsidR="00BA3D9C" w:rsidRPr="00E82549" w:rsidP="00BC0128" w14:paraId="32A385EC" w14:textId="77777777">
      <w:pPr>
        <w:pStyle w:val="ListParagraph"/>
        <w:numPr>
          <w:ilvl w:val="0"/>
          <w:numId w:val="28"/>
        </w:numPr>
        <w:spacing w:line="276" w:lineRule="auto"/>
        <w:ind w:left="1440"/>
        <w:rPr>
          <w:rFonts w:cs="Arial"/>
          <w:bCs/>
        </w:rPr>
      </w:pPr>
      <w:r w:rsidRPr="07CF9BF8">
        <w:rPr>
          <w:rFonts w:cs="Arial"/>
        </w:rPr>
        <w:t>Pharmacy Staff</w:t>
      </w:r>
    </w:p>
    <w:p w:rsidR="00E82549" w:rsidRPr="00E82549" w:rsidP="00E82549" w14:paraId="30EEA066" w14:textId="6DCE2635">
      <w:pPr>
        <w:pStyle w:val="ListParagraph"/>
        <w:numPr>
          <w:ilvl w:val="0"/>
          <w:numId w:val="28"/>
        </w:numPr>
        <w:spacing w:line="276" w:lineRule="auto"/>
        <w:ind w:left="1440"/>
        <w:rPr>
          <w:rFonts w:cs="Arial"/>
          <w:bCs/>
        </w:rPr>
      </w:pPr>
      <w:r w:rsidRPr="000C2BFD">
        <w:rPr>
          <w:rFonts w:cs="Arial"/>
          <w:bCs/>
        </w:rPr>
        <w:t>Laboratory Assistant</w:t>
      </w:r>
    </w:p>
    <w:p w:rsidR="00BA3D9C" w:rsidRPr="000C2BFD" w:rsidP="00BC0128" w14:paraId="46557DA2" w14:textId="77777777">
      <w:pPr>
        <w:pStyle w:val="ListParagraph"/>
        <w:numPr>
          <w:ilvl w:val="0"/>
          <w:numId w:val="28"/>
        </w:numPr>
        <w:spacing w:line="276" w:lineRule="auto"/>
        <w:ind w:left="1440"/>
        <w:rPr>
          <w:rFonts w:cs="Arial"/>
          <w:bCs/>
        </w:rPr>
      </w:pPr>
      <w:r w:rsidRPr="07CF9BF8">
        <w:rPr>
          <w:rFonts w:cs="Arial"/>
        </w:rPr>
        <w:t>Regulatory Personnel</w:t>
      </w:r>
    </w:p>
    <w:p w:rsidR="004773EB" w:rsidRPr="00BB4BC0" w:rsidP="00635318" w14:paraId="6F26FC6E" w14:textId="0EE84DAC">
      <w:pPr>
        <w:pStyle w:val="SectionHeading"/>
        <w:numPr>
          <w:ilvl w:val="0"/>
          <w:numId w:val="11"/>
        </w:numPr>
        <w:spacing w:before="120" w:after="240"/>
        <w:ind w:left="720" w:hanging="720"/>
        <w:contextualSpacing w:val="0"/>
        <w:rPr>
          <w:color w:val="365F91" w:themeColor="accent1" w:themeShade="BF"/>
          <w:sz w:val="28"/>
          <w:szCs w:val="28"/>
        </w:rPr>
      </w:pPr>
      <w:r w:rsidRPr="00BB4BC0">
        <w:rPr>
          <w:color w:val="365F91" w:themeColor="accent1" w:themeShade="BF"/>
          <w:sz w:val="28"/>
          <w:szCs w:val="28"/>
        </w:rPr>
        <w:t xml:space="preserve">Contact Information </w:t>
      </w:r>
    </w:p>
    <w:p w:rsidR="004773EB" w:rsidP="00F909C9" w14:paraId="45AF0671" w14:textId="6D6DEC47">
      <w:pPr>
        <w:pStyle w:val="BodyText"/>
        <w:spacing w:before="120" w:after="240"/>
        <w:ind w:left="720"/>
        <w:contextualSpacing w:val="0"/>
      </w:pPr>
      <w:r>
        <w:t xml:space="preserve">Any exceptions </w:t>
      </w:r>
      <w:r w:rsidR="00F909C9">
        <w:t xml:space="preserve">or questions pertaining </w:t>
      </w:r>
      <w:r>
        <w:t xml:space="preserve">to this procedure must be presented to </w:t>
      </w:r>
      <w:hyperlink r:id="rId13" w:history="1">
        <w:r w:rsidRPr="00117703">
          <w:rPr>
            <w:rStyle w:val="Hyperlink"/>
          </w:rPr>
          <w:t>ycci.sop@yale.edu</w:t>
        </w:r>
      </w:hyperlink>
      <w:r w:rsidR="00A41B44">
        <w:rPr>
          <w:rStyle w:val="Hyperlink"/>
        </w:rPr>
        <w:t>.</w:t>
      </w:r>
    </w:p>
    <w:p w:rsidR="00051134" w:rsidRPr="00BB4BC0" w:rsidP="00635318" w14:paraId="2DE2D856" w14:textId="70837581">
      <w:pPr>
        <w:pStyle w:val="SectionHeading"/>
        <w:numPr>
          <w:ilvl w:val="0"/>
          <w:numId w:val="11"/>
        </w:numPr>
        <w:spacing w:after="240"/>
        <w:ind w:left="720" w:hanging="720"/>
        <w:contextualSpacing w:val="0"/>
        <w:rPr>
          <w:color w:val="365F91" w:themeColor="accent1" w:themeShade="BF"/>
          <w:sz w:val="28"/>
          <w:szCs w:val="28"/>
        </w:rPr>
      </w:pPr>
      <w:r w:rsidRPr="00BB4BC0">
        <w:rPr>
          <w:color w:val="365F91" w:themeColor="accent1" w:themeShade="BF"/>
          <w:sz w:val="28"/>
          <w:szCs w:val="28"/>
        </w:rPr>
        <w:t>Related Information</w:t>
      </w:r>
    </w:p>
    <w:p w:rsidR="00031677" w:rsidRPr="00031677" w:rsidP="00031677" w14:paraId="074C9083" w14:textId="25C9D17C">
      <w:pPr>
        <w:pStyle w:val="SectionHeading"/>
        <w:spacing w:before="120" w:line="276" w:lineRule="auto"/>
        <w:ind w:left="720"/>
        <w:contextualSpacing w:val="0"/>
        <w:rPr>
          <w:b w:val="0"/>
          <w:bCs/>
          <w:sz w:val="20"/>
          <w:szCs w:val="16"/>
        </w:rPr>
      </w:pPr>
      <w:r>
        <w:rPr>
          <w:b w:val="0"/>
          <w:bCs/>
          <w:sz w:val="20"/>
          <w:szCs w:val="16"/>
        </w:rPr>
        <w:t>This section identifies applicable regulations, guidance’s, and policies related to this procedure.</w:t>
      </w:r>
    </w:p>
    <w:p w:rsidR="00E96252" w:rsidRPr="00E96252" w:rsidP="00031677" w14:paraId="0C023984" w14:textId="77777777">
      <w:pPr>
        <w:pStyle w:val="SectionHeading"/>
        <w:numPr>
          <w:ilvl w:val="1"/>
          <w:numId w:val="11"/>
        </w:numPr>
        <w:spacing w:before="120"/>
        <w:contextualSpacing w:val="0"/>
      </w:pPr>
      <w:r>
        <w:rPr>
          <w:rFonts w:cs="Arial"/>
          <w:color w:val="000000" w:themeColor="text1"/>
          <w:sz w:val="20"/>
        </w:rPr>
        <w:t>Code of Federal Regulations</w:t>
      </w:r>
    </w:p>
    <w:p w:rsidR="00E6328E" w:rsidP="00635318" w14:paraId="5A9EA714" w14:textId="77777777">
      <w:pPr>
        <w:pStyle w:val="ListParagraph"/>
        <w:widowControl w:val="0"/>
        <w:numPr>
          <w:ilvl w:val="0"/>
          <w:numId w:val="14"/>
        </w:numPr>
        <w:adjustRightInd w:val="0"/>
        <w:snapToGrid w:val="0"/>
        <w:spacing w:line="276" w:lineRule="auto"/>
        <w:rPr>
          <w:rFonts w:cs="Arial"/>
        </w:rPr>
      </w:pPr>
      <w:r w:rsidRPr="00E6328E">
        <w:rPr>
          <w:rFonts w:cs="Arial"/>
        </w:rPr>
        <w:t>21 CFR § 312.50 — General responsibilities of Sponsors</w:t>
      </w:r>
    </w:p>
    <w:p w:rsidR="00E6328E" w:rsidP="00635318" w14:paraId="095E2D60" w14:textId="77777777">
      <w:pPr>
        <w:pStyle w:val="ListParagraph"/>
        <w:widowControl w:val="0"/>
        <w:numPr>
          <w:ilvl w:val="0"/>
          <w:numId w:val="14"/>
        </w:numPr>
        <w:adjustRightInd w:val="0"/>
        <w:snapToGrid w:val="0"/>
        <w:spacing w:line="276" w:lineRule="auto"/>
        <w:rPr>
          <w:rFonts w:cs="Arial"/>
        </w:rPr>
      </w:pPr>
      <w:r w:rsidRPr="00E6328E">
        <w:rPr>
          <w:rFonts w:cs="Arial"/>
        </w:rPr>
        <w:t>21 CFR § 312.56 — Review of ongoing investigations</w:t>
      </w:r>
    </w:p>
    <w:p w:rsidR="00E6328E" w:rsidP="00635318" w14:paraId="024D2D16" w14:textId="77777777">
      <w:pPr>
        <w:pStyle w:val="ListParagraph"/>
        <w:widowControl w:val="0"/>
        <w:numPr>
          <w:ilvl w:val="0"/>
          <w:numId w:val="14"/>
        </w:numPr>
        <w:adjustRightInd w:val="0"/>
        <w:snapToGrid w:val="0"/>
        <w:spacing w:line="276" w:lineRule="auto"/>
        <w:rPr>
          <w:rFonts w:cs="Arial"/>
        </w:rPr>
      </w:pPr>
      <w:r w:rsidRPr="00E6328E">
        <w:rPr>
          <w:rFonts w:cs="Arial"/>
        </w:rPr>
        <w:t>21 CFR § 312.59 — Disposition of unused supply of investigational drug</w:t>
      </w:r>
    </w:p>
    <w:p w:rsidR="00E6328E" w:rsidP="00635318" w14:paraId="72EA3451" w14:textId="77777777">
      <w:pPr>
        <w:pStyle w:val="ListParagraph"/>
        <w:widowControl w:val="0"/>
        <w:numPr>
          <w:ilvl w:val="0"/>
          <w:numId w:val="14"/>
        </w:numPr>
        <w:adjustRightInd w:val="0"/>
        <w:snapToGrid w:val="0"/>
        <w:spacing w:line="276" w:lineRule="auto"/>
        <w:rPr>
          <w:rFonts w:cs="Arial"/>
        </w:rPr>
      </w:pPr>
      <w:r w:rsidRPr="00E6328E">
        <w:rPr>
          <w:rFonts w:cs="Arial"/>
        </w:rPr>
        <w:t>21 CFR § 312.60 — General responsibilities of investigators</w:t>
      </w:r>
    </w:p>
    <w:p w:rsidR="00E6328E" w:rsidP="00635318" w14:paraId="09BF4B08" w14:textId="77777777">
      <w:pPr>
        <w:pStyle w:val="ListParagraph"/>
        <w:widowControl w:val="0"/>
        <w:numPr>
          <w:ilvl w:val="0"/>
          <w:numId w:val="14"/>
        </w:numPr>
        <w:adjustRightInd w:val="0"/>
        <w:snapToGrid w:val="0"/>
        <w:spacing w:line="276" w:lineRule="auto"/>
        <w:rPr>
          <w:rFonts w:cs="Arial"/>
        </w:rPr>
      </w:pPr>
      <w:r w:rsidRPr="00E6328E">
        <w:rPr>
          <w:rFonts w:cs="Arial"/>
        </w:rPr>
        <w:t>21 CFR § 312.62 — Investigator recordkeeping and record retention</w:t>
      </w:r>
    </w:p>
    <w:p w:rsidR="00E6328E" w:rsidP="00635318" w14:paraId="3A31325D" w14:textId="77777777">
      <w:pPr>
        <w:pStyle w:val="ListParagraph"/>
        <w:widowControl w:val="0"/>
        <w:numPr>
          <w:ilvl w:val="0"/>
          <w:numId w:val="14"/>
        </w:numPr>
        <w:adjustRightInd w:val="0"/>
        <w:snapToGrid w:val="0"/>
        <w:spacing w:line="276" w:lineRule="auto"/>
        <w:rPr>
          <w:rFonts w:cs="Arial"/>
        </w:rPr>
      </w:pPr>
      <w:r w:rsidRPr="00E6328E">
        <w:rPr>
          <w:rFonts w:cs="Arial"/>
        </w:rPr>
        <w:t>21 CFR § 312.64 — Investigator reports</w:t>
      </w:r>
    </w:p>
    <w:p w:rsidR="00E6328E" w:rsidP="00635318" w14:paraId="3DD7147D" w14:textId="77777777">
      <w:pPr>
        <w:pStyle w:val="ListParagraph"/>
        <w:widowControl w:val="0"/>
        <w:numPr>
          <w:ilvl w:val="0"/>
          <w:numId w:val="14"/>
        </w:numPr>
        <w:adjustRightInd w:val="0"/>
        <w:snapToGrid w:val="0"/>
        <w:spacing w:line="276" w:lineRule="auto"/>
        <w:rPr>
          <w:rFonts w:cs="Arial"/>
        </w:rPr>
      </w:pPr>
      <w:r w:rsidRPr="00E6328E">
        <w:rPr>
          <w:rFonts w:cs="Arial"/>
        </w:rPr>
        <w:t>21 CFR § 312.66 — Assurance of IRB review</w:t>
      </w:r>
    </w:p>
    <w:p w:rsidR="00E96252" w:rsidRPr="009B3045" w:rsidP="00635318" w14:paraId="12265951" w14:textId="07CC4CB9">
      <w:pPr>
        <w:pStyle w:val="ListParagraph"/>
        <w:widowControl w:val="0"/>
        <w:numPr>
          <w:ilvl w:val="0"/>
          <w:numId w:val="14"/>
        </w:numPr>
        <w:adjustRightInd w:val="0"/>
        <w:snapToGrid w:val="0"/>
        <w:spacing w:line="276" w:lineRule="auto"/>
        <w:rPr>
          <w:rFonts w:cs="Arial"/>
        </w:rPr>
      </w:pPr>
      <w:r>
        <w:rPr>
          <w:rFonts w:cs="Arial"/>
        </w:rPr>
        <w:t xml:space="preserve">21 </w:t>
      </w:r>
      <w:r w:rsidR="009B3045">
        <w:rPr>
          <w:rFonts w:cs="Arial"/>
        </w:rPr>
        <w:t>C</w:t>
      </w:r>
      <w:r w:rsidRPr="00E6328E">
        <w:rPr>
          <w:rFonts w:cs="Arial"/>
        </w:rPr>
        <w:t>FR § 312.68 — Inspection of investigator’s records and reports</w:t>
      </w:r>
    </w:p>
    <w:p w:rsidR="007C503B" w:rsidRPr="000774D4" w:rsidP="00635318" w14:paraId="6BDC2DD4" w14:textId="3BFF2763">
      <w:pPr>
        <w:pStyle w:val="SectionHeading"/>
        <w:numPr>
          <w:ilvl w:val="1"/>
          <w:numId w:val="11"/>
        </w:numPr>
        <w:spacing w:after="240"/>
        <w:contextualSpacing w:val="0"/>
        <w:rPr>
          <w:rFonts w:cs="Arial"/>
        </w:rPr>
      </w:pPr>
      <w:r>
        <w:rPr>
          <w:rFonts w:cs="Arial"/>
          <w:color w:val="000000" w:themeColor="text1"/>
          <w:sz w:val="20"/>
        </w:rPr>
        <w:t>Good Clinical Practice</w:t>
      </w:r>
    </w:p>
    <w:p w:rsidR="007A1327" w:rsidRPr="007A1327" w:rsidP="00635318" w14:paraId="28FCD7A7" w14:textId="5473F867">
      <w:pPr>
        <w:pStyle w:val="ListParagraph"/>
        <w:widowControl w:val="0"/>
        <w:numPr>
          <w:ilvl w:val="0"/>
          <w:numId w:val="14"/>
        </w:numPr>
        <w:adjustRightInd w:val="0"/>
        <w:snapToGrid w:val="0"/>
        <w:spacing w:line="276" w:lineRule="auto"/>
        <w:rPr>
          <w:rFonts w:cs="Arial"/>
        </w:rPr>
      </w:pPr>
      <w:r w:rsidRPr="007A1327">
        <w:rPr>
          <w:rFonts w:cs="Arial"/>
        </w:rPr>
        <w:t>ICH E6 (R3) Good Clinical Practice</w:t>
      </w:r>
    </w:p>
    <w:p w:rsidR="00483F78" w:rsidRPr="00483F78" w:rsidP="00635318" w14:paraId="1B30E278" w14:textId="53C1EDAB">
      <w:pPr>
        <w:pStyle w:val="SectionHeading"/>
        <w:numPr>
          <w:ilvl w:val="1"/>
          <w:numId w:val="11"/>
        </w:numPr>
        <w:spacing w:after="240"/>
        <w:contextualSpacing w:val="0"/>
        <w:rPr>
          <w:rFonts w:cs="Arial"/>
          <w:bCs/>
          <w:sz w:val="20"/>
        </w:rPr>
      </w:pPr>
      <w:r w:rsidRPr="00483F78">
        <w:rPr>
          <w:rFonts w:cs="Arial"/>
          <w:bCs/>
          <w:sz w:val="20"/>
        </w:rPr>
        <w:t>Additional Regulations, Guidance’s and Policies</w:t>
      </w:r>
    </w:p>
    <w:p w:rsidR="000774D4" w:rsidRPr="00DC28A1" w:rsidP="00B634C5" w14:paraId="64869189" w14:textId="53D13025">
      <w:pPr>
        <w:pStyle w:val="ListParagraph"/>
        <w:widowControl w:val="0"/>
        <w:numPr>
          <w:ilvl w:val="0"/>
          <w:numId w:val="14"/>
        </w:numPr>
        <w:adjustRightInd w:val="0"/>
        <w:snapToGrid w:val="0"/>
        <w:spacing w:line="276" w:lineRule="auto"/>
        <w:rPr>
          <w:rFonts w:cs="Arial"/>
          <w:b/>
        </w:rPr>
      </w:pPr>
      <w:hyperlink r:id="rId14" w:history="1">
        <w:r w:rsidRPr="001E4765">
          <w:rPr>
            <w:rStyle w:val="Hyperlink"/>
            <w:rFonts w:cs="Arial"/>
          </w:rPr>
          <w:t>Yale HRPP Policy 730 Human Research Record and Biological Specimen Retention and Transfer</w:t>
        </w:r>
      </w:hyperlink>
    </w:p>
    <w:p w:rsidR="00E862D6" w:rsidRPr="00BB4BC0" w:rsidP="00C22CFC" w14:paraId="2246D93D" w14:textId="77777777">
      <w:pPr>
        <w:pStyle w:val="SectionHeading"/>
        <w:numPr>
          <w:ilvl w:val="0"/>
          <w:numId w:val="11"/>
        </w:numPr>
        <w:spacing w:before="120" w:after="240"/>
        <w:ind w:left="720" w:hanging="720"/>
        <w:contextualSpacing w:val="0"/>
        <w:rPr>
          <w:color w:val="365F91" w:themeColor="accent1" w:themeShade="BF"/>
          <w:sz w:val="28"/>
          <w:szCs w:val="28"/>
        </w:rPr>
      </w:pPr>
      <w:r w:rsidRPr="00BB4BC0">
        <w:rPr>
          <w:color w:val="365F91" w:themeColor="accent1" w:themeShade="BF"/>
          <w:sz w:val="28"/>
          <w:szCs w:val="28"/>
        </w:rPr>
        <w:t>Reference</w:t>
      </w:r>
      <w:r w:rsidRPr="00BB4BC0" w:rsidR="00CE6CED">
        <w:rPr>
          <w:color w:val="365F91" w:themeColor="accent1" w:themeShade="BF"/>
          <w:sz w:val="28"/>
          <w:szCs w:val="28"/>
        </w:rPr>
        <w:t xml:space="preserve"> Materials</w:t>
      </w:r>
    </w:p>
    <w:p w:rsidR="002A5576" w:rsidRPr="002A5576" w:rsidP="00C22CFC" w14:paraId="627294A9" w14:textId="6CDB8EE1">
      <w:pPr>
        <w:pStyle w:val="SectionHeading"/>
        <w:spacing w:before="120" w:after="240"/>
        <w:ind w:left="720"/>
        <w:contextualSpacing w:val="0"/>
        <w:rPr>
          <w:b w:val="0"/>
          <w:bCs/>
          <w:sz w:val="20"/>
        </w:rPr>
      </w:pPr>
      <w:r w:rsidRPr="00195F9F">
        <w:rPr>
          <w:rFonts w:cs="Arial"/>
          <w:b w:val="0"/>
          <w:bCs/>
          <w:sz w:val="20"/>
        </w:rPr>
        <w:t>Reference materials are located in each functional area’s working directory.</w:t>
      </w:r>
    </w:p>
    <w:p w:rsidR="00143918" w:rsidRPr="00B25A4E" w:rsidP="00CA0FCD" w14:paraId="357B5789" w14:textId="55BF5ED9">
      <w:pPr>
        <w:pStyle w:val="BodyText"/>
        <w:numPr>
          <w:ilvl w:val="0"/>
          <w:numId w:val="10"/>
        </w:numPr>
        <w:spacing w:before="120" w:after="0" w:line="276" w:lineRule="auto"/>
        <w:ind w:left="1267"/>
        <w:contextualSpacing w:val="0"/>
        <w:rPr>
          <w:rFonts w:cs="Arial"/>
        </w:rPr>
      </w:pPr>
      <w:r w:rsidRPr="00EB3516">
        <w:rPr>
          <w:rFonts w:cs="Arial"/>
        </w:rPr>
        <w:t>Guidance Document: Study Completion</w:t>
      </w:r>
    </w:p>
    <w:p w:rsidR="00E811D9" w:rsidP="00E811D9" w14:paraId="6C6F5CCB" w14:textId="77777777">
      <w:pPr>
        <w:pStyle w:val="BodyText"/>
        <w:numPr>
          <w:ilvl w:val="0"/>
          <w:numId w:val="10"/>
        </w:numPr>
        <w:spacing w:before="0" w:after="0" w:line="276" w:lineRule="auto"/>
        <w:ind w:left="1267"/>
        <w:contextualSpacing w:val="0"/>
        <w:rPr>
          <w:rStyle w:val="Hyperlink"/>
          <w:rFonts w:cs="Arial"/>
        </w:rPr>
      </w:pPr>
      <w:hyperlink r:id="rId15" w:history="1">
        <w:r w:rsidRPr="00E811D9">
          <w:rPr>
            <w:rStyle w:val="Hyperlink"/>
            <w:rFonts w:cs="Arial"/>
          </w:rPr>
          <w:t>Yale Center for Clinical Investigation - Office of Quality Assurance: Guidance, Study Tools and Templates</w:t>
        </w:r>
      </w:hyperlink>
    </w:p>
    <w:p w:rsidR="00B25A4E" w:rsidRPr="00E811D9" w:rsidP="00E811D9" w14:paraId="30F512FB" w14:textId="2900CB74">
      <w:pPr>
        <w:pStyle w:val="BodyText"/>
        <w:numPr>
          <w:ilvl w:val="0"/>
          <w:numId w:val="10"/>
        </w:numPr>
        <w:spacing w:before="0" w:after="0" w:line="276" w:lineRule="auto"/>
        <w:ind w:left="1267"/>
        <w:contextualSpacing w:val="0"/>
        <w:rPr>
          <w:rFonts w:cs="Arial"/>
          <w:color w:val="0000FF"/>
          <w:u w:val="single"/>
        </w:rPr>
      </w:pPr>
      <w:hyperlink r:id="rId16" w:history="1">
        <w:r w:rsidRPr="00E811D9">
          <w:rPr>
            <w:rStyle w:val="Hyperlink"/>
            <w:rFonts w:eastAsia="Calibri" w:cs="Arial"/>
          </w:rPr>
          <w:t>YCCI eReg Guidance Document: Review Sessions</w:t>
        </w:r>
      </w:hyperlink>
      <w:r w:rsidRPr="00E811D9" w:rsidR="00143918">
        <w:rPr>
          <w:rFonts w:eastAsia="Calibri" w:cs="Arial"/>
        </w:rPr>
        <w:t xml:space="preserve"> </w:t>
      </w:r>
    </w:p>
    <w:p w:rsidR="00B25A4E" w:rsidRPr="00B25A4E" w:rsidP="00635318" w14:paraId="10988595" w14:textId="77874392">
      <w:pPr>
        <w:pStyle w:val="BodyText"/>
        <w:numPr>
          <w:ilvl w:val="0"/>
          <w:numId w:val="10"/>
        </w:numPr>
        <w:spacing w:before="0" w:after="0" w:line="276" w:lineRule="auto"/>
        <w:ind w:left="1267"/>
        <w:contextualSpacing w:val="0"/>
        <w:rPr>
          <w:rFonts w:cs="Arial"/>
          <w:i/>
          <w:iCs/>
          <w:color w:val="0000FF"/>
          <w:u w:val="single"/>
        </w:rPr>
      </w:pPr>
      <w:hyperlink r:id="rId17" w:history="1">
        <w:r>
          <w:rPr>
            <w:rStyle w:val="Hyperlink"/>
            <w:rFonts w:eastAsia="Calibri" w:cs="Arial"/>
          </w:rPr>
          <w:t>YCCI eReg User Access Request Form</w:t>
        </w:r>
      </w:hyperlink>
      <w:r w:rsidRPr="00B25A4E" w:rsidR="00143918">
        <w:rPr>
          <w:rFonts w:eastAsia="Calibri" w:cs="Arial"/>
        </w:rPr>
        <w:t xml:space="preserve"> </w:t>
      </w:r>
    </w:p>
    <w:p w:rsidR="00143918" w:rsidRPr="00B25A4E" w:rsidP="00635318" w14:paraId="4CB8B601" w14:textId="5A01457A">
      <w:pPr>
        <w:pStyle w:val="BodyText"/>
        <w:numPr>
          <w:ilvl w:val="0"/>
          <w:numId w:val="10"/>
        </w:numPr>
        <w:spacing w:before="0" w:after="0" w:line="276" w:lineRule="auto"/>
        <w:ind w:left="1267"/>
        <w:contextualSpacing w:val="0"/>
        <w:rPr>
          <w:rFonts w:cs="Arial"/>
          <w:i/>
          <w:iCs/>
          <w:color w:val="0000FF"/>
          <w:u w:val="single"/>
        </w:rPr>
      </w:pPr>
      <w:hyperlink r:id="rId18" w:history="1">
        <w:r>
          <w:rPr>
            <w:rStyle w:val="Hyperlink"/>
            <w:rFonts w:eastAsia="Calibri" w:cs="Arial"/>
          </w:rPr>
          <w:t>Yale University Visitor Policy</w:t>
        </w:r>
      </w:hyperlink>
      <w:r w:rsidRPr="00B25A4E" w:rsidR="007A1327">
        <w:rPr>
          <w:rFonts w:eastAsia="Calibri" w:cs="Arial"/>
        </w:rPr>
        <w:t xml:space="preserve"> </w:t>
      </w:r>
    </w:p>
    <w:p w:rsidR="00E862D6" w:rsidRPr="00BB4BC0" w:rsidP="00BB4BC0" w14:paraId="32092978" w14:textId="77777777">
      <w:pPr>
        <w:pStyle w:val="SectionHeading"/>
        <w:numPr>
          <w:ilvl w:val="0"/>
          <w:numId w:val="11"/>
        </w:numPr>
        <w:spacing w:before="240" w:after="240"/>
        <w:ind w:left="720" w:hanging="720"/>
        <w:contextualSpacing w:val="0"/>
        <w:rPr>
          <w:b w:val="0"/>
          <w:color w:val="365F91" w:themeColor="accent1" w:themeShade="BF"/>
          <w:sz w:val="28"/>
          <w:szCs w:val="28"/>
        </w:rPr>
      </w:pPr>
      <w:r w:rsidRPr="00BB4BC0">
        <w:rPr>
          <w:color w:val="365F91" w:themeColor="accent1" w:themeShade="BF"/>
          <w:sz w:val="28"/>
          <w:szCs w:val="28"/>
        </w:rPr>
        <w:t xml:space="preserve">Version </w:t>
      </w:r>
      <w:r w:rsidRPr="00BB4BC0" w:rsidR="00477589">
        <w:rPr>
          <w:color w:val="365F91" w:themeColor="accent1" w:themeShade="BF"/>
          <w:sz w:val="28"/>
          <w:szCs w:val="28"/>
        </w:rPr>
        <w:t>History</w:t>
      </w:r>
    </w:p>
    <w:p w:rsidR="00BB4BC0" w:rsidRPr="00BB4BC0" w:rsidP="00BB4BC0" w14:paraId="0F679F03" w14:textId="2514744C">
      <w:pPr>
        <w:pStyle w:val="BodyText"/>
        <w:numPr>
          <w:ilvl w:val="0"/>
          <w:numId w:val="10"/>
        </w:numPr>
        <w:spacing w:before="120" w:after="240" w:line="276" w:lineRule="auto"/>
        <w:contextualSpacing w:val="0"/>
        <w:rPr>
          <w:rFonts w:cs="Arial"/>
          <w:color w:val="000000"/>
        </w:rPr>
      </w:pPr>
      <w:r>
        <w:rPr>
          <w:rFonts w:cs="Arial"/>
          <w:color w:val="000000"/>
        </w:rPr>
        <w:t>10/12</w:t>
      </w:r>
      <w:r w:rsidRPr="00E862D6" w:rsidR="00DF0720">
        <w:rPr>
          <w:rFonts w:cs="Arial"/>
          <w:color w:val="000000"/>
        </w:rPr>
        <w:t>/2023: New document (no prior history)</w:t>
      </w:r>
      <w:r>
        <w:rPr>
          <w:rFonts w:cs="Arial"/>
          <w:color w:val="000000"/>
        </w:rPr>
        <w:br/>
      </w:r>
    </w:p>
    <w:p w:rsidR="00BB4BC0" w:rsidRPr="00BB4BC0" w:rsidP="00BB4BC0" w14:paraId="0B7A6E49" w14:textId="019D0311">
      <w:pPr>
        <w:rPr>
          <w:szCs w:val="24"/>
        </w:rPr>
      </w:pPr>
      <w:r w:rsidRPr="00BB4BC0">
        <w:rPr>
          <w:b/>
          <w:bCs/>
          <w:szCs w:val="24"/>
        </w:rPr>
        <w:t xml:space="preserve">Responsible Official: </w:t>
      </w:r>
      <w:r w:rsidRPr="00BB4BC0">
        <w:rPr>
          <w:b/>
          <w:bCs/>
          <w:szCs w:val="24"/>
        </w:rPr>
        <w:tab/>
      </w:r>
      <w:r w:rsidRPr="00BB4BC0">
        <w:rPr>
          <w:b/>
          <w:bCs/>
          <w:szCs w:val="24"/>
        </w:rPr>
        <w:tab/>
      </w:r>
      <w:r>
        <w:t>Co-Directors</w:t>
      </w:r>
    </w:p>
    <w:p w:rsidR="00BB4BC0" w:rsidRPr="00825DBD" w:rsidP="00BB4BC0" w14:paraId="225A67C9" w14:textId="6C54C79B">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BB4BC0" w:rsidRPr="00825DBD" w:rsidP="00BB4BC0" w14:paraId="014C4DC2"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11/07/2023</w:t>
      </w:r>
      <w:r w:rsidRPr="00825DBD">
        <w:fldChar w:fldCharType="end"/>
      </w:r>
    </w:p>
    <w:p w:rsidR="00BB4BC0" w:rsidRPr="00825DBD" w:rsidP="00BB4BC0" w14:paraId="674FC6BE"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11/07/2023</w:t>
      </w:r>
      <w:r w:rsidRPr="00825DBD">
        <w:fldChar w:fldCharType="end"/>
      </w:r>
    </w:p>
    <w:p w:rsidR="00BB4BC0" w:rsidRPr="00E862D6" w:rsidP="00BB4BC0" w14:paraId="1BFBB4F9" w14:textId="77777777">
      <w:pPr>
        <w:pStyle w:val="BodyText"/>
        <w:spacing w:before="120" w:after="240" w:line="276" w:lineRule="auto"/>
        <w:contextualSpacing w:val="0"/>
        <w:rPr>
          <w:rFonts w:cs="Arial"/>
          <w:color w:val="000000"/>
        </w:rPr>
      </w:pPr>
    </w:p>
    <w:sectPr w:rsidSect="00641FF8">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D3043" w14:paraId="54A3938A" w14:textId="77777777">
      <w:pPr>
        <w:spacing w:before="0" w:after="0"/>
      </w:pPr>
      <w:r>
        <w:separator/>
      </w:r>
    </w:p>
  </w:endnote>
  <w:endnote w:type="continuationSeparator" w:id="1">
    <w:p w:rsidR="003D3043" w14:paraId="553759F0"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3043" w14:paraId="374FCFC5" w14:textId="77777777">
      <w:pPr>
        <w:spacing w:before="0" w:after="0"/>
      </w:pPr>
      <w:r>
        <w:separator/>
      </w:r>
    </w:p>
  </w:footnote>
  <w:footnote w:type="continuationSeparator" w:id="1">
    <w:p w:rsidR="003D3043" w14:paraId="0C17C87A"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BC0" w:rsidP="00BB4BC0" w14:paraId="3917F235"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BB4BC0" w:rsidRPr="00BB4BC0" w:rsidP="00BB4BC0" w14:paraId="66B3A043" w14:textId="7A7DE6E8">
    <w:pPr>
      <w:pStyle w:val="DocTitle"/>
      <w:rPr>
        <w:color w:val="17365D" w:themeColor="text2" w:themeShade="BF"/>
      </w:rPr>
    </w:pPr>
    <w:r w:rsidRPr="00BB4BC0">
      <w:rPr>
        <w:color w:val="17365D" w:themeColor="text2" w:themeShade="BF"/>
      </w:rPr>
      <w:t>Close Out Visits (Site) -0508- Procedure</w:t>
    </w:r>
  </w:p>
  <w:p w:rsidR="00BB4BC0" w:rsidRPr="008F726D" w:rsidP="00BB4BC0" w14:paraId="02B3D385" w14:textId="77777777">
    <w:pPr>
      <w:rPr>
        <w:rFonts w:eastAsiaTheme="majorEastAsia" w:cstheme="majorBidi"/>
        <w:b/>
        <w:spacing w:val="-10"/>
        <w:kern w:val="28"/>
        <w:szCs w:val="24"/>
      </w:rPr>
    </w:pPr>
    <w:r w:rsidRPr="00825DBD">
      <w:rPr>
        <w:b/>
        <w:bCs/>
        <w:szCs w:val="24"/>
      </w:rPr>
      <w:t>Responsible Office:</w:t>
    </w:r>
    <w:r w:rsidRPr="00825DBD">
      <w:rPr>
        <w:b/>
        <w:bCs/>
        <w:szCs w:val="24"/>
      </w:rPr>
      <w:tab/>
    </w:r>
    <w:r w:rsidRPr="00825DBD">
      <w:rPr>
        <w:b/>
        <w:bCs/>
        <w:szCs w:val="24"/>
      </w:rPr>
      <w:tab/>
    </w:r>
    <w:r>
      <w:t>YCCI</w:t>
    </w:r>
  </w:p>
  <w:p w:rsidR="00BB4BC0" w:rsidRPr="00825DBD" w:rsidP="00BB4BC0" w14:paraId="1DC67B35" w14:textId="77777777">
    <w:pPr>
      <w:rPr>
        <w:b/>
        <w:bCs/>
        <w:szCs w:val="24"/>
      </w:rPr>
    </w:pPr>
    <w:r>
      <w:rPr>
        <w:b/>
        <w:bCs/>
        <w:szCs w:val="24"/>
      </w:rPr>
      <w:t>Procedure</w:t>
    </w:r>
    <w:r w:rsidRPr="00825DBD">
      <w:rPr>
        <w:b/>
        <w:bCs/>
        <w:szCs w:val="24"/>
      </w:rPr>
      <w:t xml:space="preserve"> Sponsor:</w:t>
    </w:r>
    <w:r w:rsidRPr="00825DBD">
      <w:rPr>
        <w:b/>
        <w:bCs/>
        <w:szCs w:val="24"/>
      </w:rPr>
      <w:tab/>
    </w:r>
    <w:r w:rsidRPr="00825DBD">
      <w:rPr>
        <w:b/>
        <w:bCs/>
        <w:szCs w:val="24"/>
      </w:rPr>
      <w:tab/>
    </w:r>
    <w:r w:rsidRPr="00825DBD">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Erica Rocco, Manuel Avedissian</w:t>
    </w:r>
    <w:r w:rsidRPr="00825DBD">
      <w:fldChar w:fldCharType="end"/>
    </w:r>
  </w:p>
  <w:p w:rsidR="0036749F" w:rsidP="00BB4BC0" w14:paraId="151FBB5A" w14:textId="3E6F40CC">
    <w:pPr>
      <w:rPr>
        <w:rFonts w:eastAsiaTheme="majorEastAsia" w:cstheme="majorBidi"/>
        <w:b/>
        <w:spacing w:val="-10"/>
        <w:kern w:val="28"/>
        <w:sz w:val="36"/>
        <w:szCs w:val="56"/>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11/07/2023</w:t>
    </w:r>
    <w:r w:rsidRPr="00825DBD">
      <w:fldChar w:fldCharType="end"/>
    </w:r>
  </w:p>
  <w:p w:rsidR="008F726D" w:rsidP="008F726D" w14:paraId="794F0A66" w14:textId="20454DDB">
    <w:pPr>
      <w:pBdr>
        <w:bottom w:val="single" w:sz="6" w:space="1" w:color="auto"/>
      </w:pBdr>
      <w:rPr>
        <w:rFonts w:eastAsiaTheme="majorEastAsia" w:cstheme="majorBidi"/>
        <w:b/>
        <w:spacing w:val="-10"/>
        <w:kern w:val="28"/>
        <w:szCs w:val="24"/>
      </w:rPr>
    </w:pPr>
  </w:p>
  <w:p w:rsidR="00EA07CA" w:rsidRPr="00BB4BC0" w:rsidP="00BB4BC0" w14:paraId="5A772FDB" w14:textId="614A2D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1"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2" w15:restartNumberingAfterBreak="0">
    <w:nsid w:val="1F7B78E2"/>
    <w:multiLevelType w:val="hybridMultilevel"/>
    <w:tmpl w:val="6748B2D2"/>
    <w:lvl w:ilvl="0">
      <w:start w:val="1"/>
      <w:numFmt w:val="bullet"/>
      <w:pStyle w:val="SOP-L1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241D2433"/>
    <w:multiLevelType w:val="hybridMultilevel"/>
    <w:tmpl w:val="7758D22C"/>
    <w:lvl w:ilvl="0">
      <w:start w:val="1"/>
      <w:numFmt w:val="lowerLetter"/>
      <w:lvlText w:val="%1."/>
      <w:lvlJc w:val="left"/>
      <w:pPr>
        <w:ind w:left="2790" w:hanging="360"/>
      </w:pPr>
      <w:rPr>
        <w:rFonts w:hint="default"/>
      </w:rPr>
    </w:lvl>
    <w:lvl w:ilvl="1" w:tentative="1">
      <w:start w:val="1"/>
      <w:numFmt w:val="lowerLetter"/>
      <w:lvlText w:val="%2."/>
      <w:lvlJc w:val="left"/>
      <w:pPr>
        <w:ind w:left="3510" w:hanging="360"/>
      </w:pPr>
    </w:lvl>
    <w:lvl w:ilvl="2" w:tentative="1">
      <w:start w:val="1"/>
      <w:numFmt w:val="lowerRoman"/>
      <w:lvlText w:val="%3."/>
      <w:lvlJc w:val="right"/>
      <w:pPr>
        <w:ind w:left="4230" w:hanging="180"/>
      </w:pPr>
    </w:lvl>
    <w:lvl w:ilvl="3" w:tentative="1">
      <w:start w:val="1"/>
      <w:numFmt w:val="decimal"/>
      <w:lvlText w:val="%4."/>
      <w:lvlJc w:val="left"/>
      <w:pPr>
        <w:ind w:left="4950" w:hanging="360"/>
      </w:pPr>
    </w:lvl>
    <w:lvl w:ilvl="4" w:tentative="1">
      <w:start w:val="1"/>
      <w:numFmt w:val="lowerLetter"/>
      <w:lvlText w:val="%5."/>
      <w:lvlJc w:val="left"/>
      <w:pPr>
        <w:ind w:left="5670" w:hanging="360"/>
      </w:pPr>
    </w:lvl>
    <w:lvl w:ilvl="5" w:tentative="1">
      <w:start w:val="1"/>
      <w:numFmt w:val="lowerRoman"/>
      <w:lvlText w:val="%6."/>
      <w:lvlJc w:val="right"/>
      <w:pPr>
        <w:ind w:left="6390" w:hanging="180"/>
      </w:pPr>
    </w:lvl>
    <w:lvl w:ilvl="6" w:tentative="1">
      <w:start w:val="1"/>
      <w:numFmt w:val="decimal"/>
      <w:lvlText w:val="%7."/>
      <w:lvlJc w:val="left"/>
      <w:pPr>
        <w:ind w:left="7110" w:hanging="360"/>
      </w:pPr>
    </w:lvl>
    <w:lvl w:ilvl="7" w:tentative="1">
      <w:start w:val="1"/>
      <w:numFmt w:val="lowerLetter"/>
      <w:lvlText w:val="%8."/>
      <w:lvlJc w:val="left"/>
      <w:pPr>
        <w:ind w:left="7830" w:hanging="360"/>
      </w:pPr>
    </w:lvl>
    <w:lvl w:ilvl="8" w:tentative="1">
      <w:start w:val="1"/>
      <w:numFmt w:val="lowerRoman"/>
      <w:lvlText w:val="%9."/>
      <w:lvlJc w:val="right"/>
      <w:pPr>
        <w:ind w:left="8550" w:hanging="180"/>
      </w:pPr>
    </w:lvl>
  </w:abstractNum>
  <w:abstractNum w:abstractNumId="4" w15:restartNumberingAfterBreak="0">
    <w:nsid w:val="321E5CD7"/>
    <w:multiLevelType w:val="hybridMultilevel"/>
    <w:tmpl w:val="1F4C1DB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32B21F46"/>
    <w:multiLevelType w:val="hybridMultilevel"/>
    <w:tmpl w:val="DD7A0F94"/>
    <w:lvl w:ilvl="0">
      <w:start w:val="1"/>
      <w:numFmt w:val="lowerLetter"/>
      <w:lvlText w:val="%1."/>
      <w:lvlJc w:val="left"/>
      <w:pPr>
        <w:ind w:left="2430" w:hanging="360"/>
      </w:pPr>
      <w:rPr>
        <w:rFonts w:cs="Arial" w:hint="default"/>
      </w:rPr>
    </w:lvl>
    <w:lvl w:ilvl="1" w:tentative="1">
      <w:start w:val="1"/>
      <w:numFmt w:val="lowerLetter"/>
      <w:lvlText w:val="%2."/>
      <w:lvlJc w:val="left"/>
      <w:pPr>
        <w:ind w:left="3150" w:hanging="360"/>
      </w:pPr>
    </w:lvl>
    <w:lvl w:ilvl="2" w:tentative="1">
      <w:start w:val="1"/>
      <w:numFmt w:val="lowerRoman"/>
      <w:lvlText w:val="%3."/>
      <w:lvlJc w:val="right"/>
      <w:pPr>
        <w:ind w:left="3870" w:hanging="180"/>
      </w:pPr>
    </w:lvl>
    <w:lvl w:ilvl="3" w:tentative="1">
      <w:start w:val="1"/>
      <w:numFmt w:val="decimal"/>
      <w:lvlText w:val="%4."/>
      <w:lvlJc w:val="left"/>
      <w:pPr>
        <w:ind w:left="4590" w:hanging="360"/>
      </w:pPr>
    </w:lvl>
    <w:lvl w:ilvl="4" w:tentative="1">
      <w:start w:val="1"/>
      <w:numFmt w:val="lowerLetter"/>
      <w:lvlText w:val="%5."/>
      <w:lvlJc w:val="left"/>
      <w:pPr>
        <w:ind w:left="5310" w:hanging="360"/>
      </w:pPr>
    </w:lvl>
    <w:lvl w:ilvl="5" w:tentative="1">
      <w:start w:val="1"/>
      <w:numFmt w:val="lowerRoman"/>
      <w:lvlText w:val="%6."/>
      <w:lvlJc w:val="right"/>
      <w:pPr>
        <w:ind w:left="6030" w:hanging="180"/>
      </w:pPr>
    </w:lvl>
    <w:lvl w:ilvl="6" w:tentative="1">
      <w:start w:val="1"/>
      <w:numFmt w:val="decimal"/>
      <w:lvlText w:val="%7."/>
      <w:lvlJc w:val="left"/>
      <w:pPr>
        <w:ind w:left="6750" w:hanging="360"/>
      </w:pPr>
    </w:lvl>
    <w:lvl w:ilvl="7" w:tentative="1">
      <w:start w:val="1"/>
      <w:numFmt w:val="lowerLetter"/>
      <w:lvlText w:val="%8."/>
      <w:lvlJc w:val="left"/>
      <w:pPr>
        <w:ind w:left="7470" w:hanging="360"/>
      </w:pPr>
    </w:lvl>
    <w:lvl w:ilvl="8" w:tentative="1">
      <w:start w:val="1"/>
      <w:numFmt w:val="lowerRoman"/>
      <w:lvlText w:val="%9."/>
      <w:lvlJc w:val="right"/>
      <w:pPr>
        <w:ind w:left="8190" w:hanging="180"/>
      </w:pPr>
    </w:lvl>
  </w:abstractNum>
  <w:abstractNum w:abstractNumId="6" w15:restartNumberingAfterBreak="0">
    <w:nsid w:val="36093899"/>
    <w:multiLevelType w:val="hybridMultilevel"/>
    <w:tmpl w:val="04CAFE1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3E811F0A"/>
    <w:multiLevelType w:val="hybridMultilevel"/>
    <w:tmpl w:val="CE460050"/>
    <w:lvl w:ilvl="0">
      <w:start w:val="1"/>
      <w:numFmt w:val="lowerLetter"/>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0041E4A"/>
    <w:multiLevelType w:val="multilevel"/>
    <w:tmpl w:val="FF9A7B2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3541D99"/>
    <w:multiLevelType w:val="hybridMultilevel"/>
    <w:tmpl w:val="4C7A7AE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4445544E"/>
    <w:multiLevelType w:val="hybridMultilevel"/>
    <w:tmpl w:val="C95084F4"/>
    <w:lvl w:ilvl="0">
      <w:start w:val="1"/>
      <w:numFmt w:val="bullet"/>
      <w:lvlText w:val=""/>
      <w:lvlJc w:val="left"/>
      <w:pPr>
        <w:ind w:left="1260" w:hanging="360"/>
      </w:pPr>
      <w:rPr>
        <w:rFonts w:ascii="Symbol" w:hAnsi="Symbol" w:hint="default"/>
        <w:color w:val="auto"/>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47850E50"/>
    <w:multiLevelType w:val="hybridMultilevel"/>
    <w:tmpl w:val="DA2ED236"/>
    <w:lvl w:ilvl="0">
      <w:start w:val="1"/>
      <w:numFmt w:val="lowerLetter"/>
      <w:lvlText w:val="%1."/>
      <w:lvlJc w:val="left"/>
      <w:pPr>
        <w:ind w:left="2430" w:hanging="360"/>
      </w:pPr>
      <w:rPr>
        <w:rFonts w:hint="default"/>
      </w:rPr>
    </w:lvl>
    <w:lvl w:ilvl="1" w:tentative="1">
      <w:start w:val="1"/>
      <w:numFmt w:val="lowerLetter"/>
      <w:lvlText w:val="%2."/>
      <w:lvlJc w:val="left"/>
      <w:pPr>
        <w:ind w:left="3150" w:hanging="360"/>
      </w:pPr>
    </w:lvl>
    <w:lvl w:ilvl="2" w:tentative="1">
      <w:start w:val="1"/>
      <w:numFmt w:val="lowerRoman"/>
      <w:lvlText w:val="%3."/>
      <w:lvlJc w:val="right"/>
      <w:pPr>
        <w:ind w:left="3870" w:hanging="180"/>
      </w:pPr>
    </w:lvl>
    <w:lvl w:ilvl="3" w:tentative="1">
      <w:start w:val="1"/>
      <w:numFmt w:val="decimal"/>
      <w:lvlText w:val="%4."/>
      <w:lvlJc w:val="left"/>
      <w:pPr>
        <w:ind w:left="4590" w:hanging="360"/>
      </w:pPr>
    </w:lvl>
    <w:lvl w:ilvl="4" w:tentative="1">
      <w:start w:val="1"/>
      <w:numFmt w:val="lowerLetter"/>
      <w:lvlText w:val="%5."/>
      <w:lvlJc w:val="left"/>
      <w:pPr>
        <w:ind w:left="5310" w:hanging="360"/>
      </w:pPr>
    </w:lvl>
    <w:lvl w:ilvl="5" w:tentative="1">
      <w:start w:val="1"/>
      <w:numFmt w:val="lowerRoman"/>
      <w:lvlText w:val="%6."/>
      <w:lvlJc w:val="right"/>
      <w:pPr>
        <w:ind w:left="6030" w:hanging="180"/>
      </w:pPr>
    </w:lvl>
    <w:lvl w:ilvl="6" w:tentative="1">
      <w:start w:val="1"/>
      <w:numFmt w:val="decimal"/>
      <w:lvlText w:val="%7."/>
      <w:lvlJc w:val="left"/>
      <w:pPr>
        <w:ind w:left="6750" w:hanging="360"/>
      </w:pPr>
    </w:lvl>
    <w:lvl w:ilvl="7" w:tentative="1">
      <w:start w:val="1"/>
      <w:numFmt w:val="lowerLetter"/>
      <w:lvlText w:val="%8."/>
      <w:lvlJc w:val="left"/>
      <w:pPr>
        <w:ind w:left="7470" w:hanging="360"/>
      </w:pPr>
    </w:lvl>
    <w:lvl w:ilvl="8" w:tentative="1">
      <w:start w:val="1"/>
      <w:numFmt w:val="lowerRoman"/>
      <w:lvlText w:val="%9."/>
      <w:lvlJc w:val="right"/>
      <w:pPr>
        <w:ind w:left="8190" w:hanging="180"/>
      </w:p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505B0A46"/>
    <w:multiLevelType w:val="hybridMultilevel"/>
    <w:tmpl w:val="AD0E62C6"/>
    <w:lvl w:ilvl="0">
      <w:start w:val="1"/>
      <w:numFmt w:val="lowerLetter"/>
      <w:lvlText w:val="%1."/>
      <w:lvlJc w:val="left"/>
      <w:pPr>
        <w:ind w:left="2430" w:hanging="360"/>
      </w:pPr>
      <w:rPr>
        <w:rFonts w:hint="default"/>
      </w:rPr>
    </w:lvl>
    <w:lvl w:ilvl="1" w:tentative="1">
      <w:start w:val="1"/>
      <w:numFmt w:val="lowerLetter"/>
      <w:lvlText w:val="%2."/>
      <w:lvlJc w:val="left"/>
      <w:pPr>
        <w:ind w:left="3150" w:hanging="360"/>
      </w:pPr>
    </w:lvl>
    <w:lvl w:ilvl="2" w:tentative="1">
      <w:start w:val="1"/>
      <w:numFmt w:val="lowerRoman"/>
      <w:lvlText w:val="%3."/>
      <w:lvlJc w:val="right"/>
      <w:pPr>
        <w:ind w:left="3870" w:hanging="180"/>
      </w:pPr>
    </w:lvl>
    <w:lvl w:ilvl="3" w:tentative="1">
      <w:start w:val="1"/>
      <w:numFmt w:val="decimal"/>
      <w:lvlText w:val="%4."/>
      <w:lvlJc w:val="left"/>
      <w:pPr>
        <w:ind w:left="4590" w:hanging="360"/>
      </w:pPr>
    </w:lvl>
    <w:lvl w:ilvl="4" w:tentative="1">
      <w:start w:val="1"/>
      <w:numFmt w:val="lowerLetter"/>
      <w:lvlText w:val="%5."/>
      <w:lvlJc w:val="left"/>
      <w:pPr>
        <w:ind w:left="5310" w:hanging="360"/>
      </w:pPr>
    </w:lvl>
    <w:lvl w:ilvl="5" w:tentative="1">
      <w:start w:val="1"/>
      <w:numFmt w:val="lowerRoman"/>
      <w:lvlText w:val="%6."/>
      <w:lvlJc w:val="right"/>
      <w:pPr>
        <w:ind w:left="6030" w:hanging="180"/>
      </w:pPr>
    </w:lvl>
    <w:lvl w:ilvl="6" w:tentative="1">
      <w:start w:val="1"/>
      <w:numFmt w:val="decimal"/>
      <w:lvlText w:val="%7."/>
      <w:lvlJc w:val="left"/>
      <w:pPr>
        <w:ind w:left="6750" w:hanging="360"/>
      </w:pPr>
    </w:lvl>
    <w:lvl w:ilvl="7" w:tentative="1">
      <w:start w:val="1"/>
      <w:numFmt w:val="lowerLetter"/>
      <w:lvlText w:val="%8."/>
      <w:lvlJc w:val="left"/>
      <w:pPr>
        <w:ind w:left="7470" w:hanging="360"/>
      </w:pPr>
    </w:lvl>
    <w:lvl w:ilvl="8" w:tentative="1">
      <w:start w:val="1"/>
      <w:numFmt w:val="lowerRoman"/>
      <w:lvlText w:val="%9."/>
      <w:lvlJc w:val="right"/>
      <w:pPr>
        <w:ind w:left="8190" w:hanging="180"/>
      </w:pPr>
    </w:lvl>
  </w:abstractNum>
  <w:abstractNum w:abstractNumId="16" w15:restartNumberingAfterBreak="0">
    <w:nsid w:val="561400C1"/>
    <w:multiLevelType w:val="hybridMultilevel"/>
    <w:tmpl w:val="89C613EA"/>
    <w:lvl w:ilvl="0">
      <w:start w:val="1"/>
      <w:numFmt w:val="lowerLetter"/>
      <w:lvlText w:val="%1."/>
      <w:lvlJc w:val="left"/>
      <w:pPr>
        <w:ind w:left="2430" w:hanging="360"/>
      </w:pPr>
      <w:rPr>
        <w:rFonts w:hint="default"/>
        <w:color w:val="000000" w:themeColor="text1"/>
      </w:rPr>
    </w:lvl>
    <w:lvl w:ilvl="1" w:tentative="1">
      <w:start w:val="1"/>
      <w:numFmt w:val="lowerLetter"/>
      <w:lvlText w:val="%2."/>
      <w:lvlJc w:val="left"/>
      <w:pPr>
        <w:ind w:left="3150" w:hanging="360"/>
      </w:pPr>
    </w:lvl>
    <w:lvl w:ilvl="2" w:tentative="1">
      <w:start w:val="1"/>
      <w:numFmt w:val="lowerRoman"/>
      <w:lvlText w:val="%3."/>
      <w:lvlJc w:val="right"/>
      <w:pPr>
        <w:ind w:left="3870" w:hanging="180"/>
      </w:pPr>
    </w:lvl>
    <w:lvl w:ilvl="3" w:tentative="1">
      <w:start w:val="1"/>
      <w:numFmt w:val="decimal"/>
      <w:lvlText w:val="%4."/>
      <w:lvlJc w:val="left"/>
      <w:pPr>
        <w:ind w:left="4590" w:hanging="360"/>
      </w:pPr>
    </w:lvl>
    <w:lvl w:ilvl="4" w:tentative="1">
      <w:start w:val="1"/>
      <w:numFmt w:val="lowerLetter"/>
      <w:lvlText w:val="%5."/>
      <w:lvlJc w:val="left"/>
      <w:pPr>
        <w:ind w:left="5310" w:hanging="360"/>
      </w:pPr>
    </w:lvl>
    <w:lvl w:ilvl="5" w:tentative="1">
      <w:start w:val="1"/>
      <w:numFmt w:val="lowerRoman"/>
      <w:lvlText w:val="%6."/>
      <w:lvlJc w:val="right"/>
      <w:pPr>
        <w:ind w:left="6030" w:hanging="180"/>
      </w:pPr>
    </w:lvl>
    <w:lvl w:ilvl="6" w:tentative="1">
      <w:start w:val="1"/>
      <w:numFmt w:val="decimal"/>
      <w:lvlText w:val="%7."/>
      <w:lvlJc w:val="left"/>
      <w:pPr>
        <w:ind w:left="6750" w:hanging="360"/>
      </w:pPr>
    </w:lvl>
    <w:lvl w:ilvl="7" w:tentative="1">
      <w:start w:val="1"/>
      <w:numFmt w:val="lowerLetter"/>
      <w:lvlText w:val="%8."/>
      <w:lvlJc w:val="left"/>
      <w:pPr>
        <w:ind w:left="7470" w:hanging="360"/>
      </w:pPr>
    </w:lvl>
    <w:lvl w:ilvl="8" w:tentative="1">
      <w:start w:val="1"/>
      <w:numFmt w:val="lowerRoman"/>
      <w:lvlText w:val="%9."/>
      <w:lvlJc w:val="right"/>
      <w:pPr>
        <w:ind w:left="8190" w:hanging="180"/>
      </w:pPr>
    </w:lvl>
  </w:abstractNum>
  <w:abstractNum w:abstractNumId="17"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8" w15:restartNumberingAfterBreak="0">
    <w:nsid w:val="67F45B2E"/>
    <w:multiLevelType w:val="hybridMultilevel"/>
    <w:tmpl w:val="8D5229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6C6E09DE"/>
    <w:multiLevelType w:val="hybridMultilevel"/>
    <w:tmpl w:val="9642003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15:restartNumberingAfterBreak="0">
    <w:nsid w:val="6DA52199"/>
    <w:multiLevelType w:val="hybridMultilevel"/>
    <w:tmpl w:val="5516A2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15:restartNumberingAfterBreak="0">
    <w:nsid w:val="703B611F"/>
    <w:multiLevelType w:val="multilevel"/>
    <w:tmpl w:val="0ADACB70"/>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F4862B4"/>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7699969">
    <w:abstractNumId w:val="24"/>
  </w:num>
  <w:num w:numId="2" w16cid:durableId="613484118">
    <w:abstractNumId w:val="1"/>
  </w:num>
  <w:num w:numId="3" w16cid:durableId="1289582430">
    <w:abstractNumId w:val="17"/>
  </w:num>
  <w:num w:numId="4" w16cid:durableId="1479885800">
    <w:abstractNumId w:val="0"/>
  </w:num>
  <w:num w:numId="5" w16cid:durableId="1457530301">
    <w:abstractNumId w:val="13"/>
  </w:num>
  <w:num w:numId="6" w16cid:durableId="1026715395">
    <w:abstractNumId w:val="14"/>
  </w:num>
  <w:num w:numId="7" w16cid:durableId="1148597849">
    <w:abstractNumId w:val="9"/>
  </w:num>
  <w:num w:numId="8" w16cid:durableId="1623464680">
    <w:abstractNumId w:val="23"/>
  </w:num>
  <w:num w:numId="9" w16cid:durableId="563832158">
    <w:abstractNumId w:val="8"/>
  </w:num>
  <w:num w:numId="10" w16cid:durableId="1194150504">
    <w:abstractNumId w:val="11"/>
  </w:num>
  <w:num w:numId="11" w16cid:durableId="250703795">
    <w:abstractNumId w:val="21"/>
  </w:num>
  <w:num w:numId="12" w16cid:durableId="1496022800">
    <w:abstractNumId w:val="18"/>
  </w:num>
  <w:num w:numId="13" w16cid:durableId="1978292581">
    <w:abstractNumId w:val="4"/>
  </w:num>
  <w:num w:numId="14" w16cid:durableId="35159603">
    <w:abstractNumId w:val="10"/>
  </w:num>
  <w:num w:numId="15" w16cid:durableId="227963022">
    <w:abstractNumId w:val="2"/>
  </w:num>
  <w:num w:numId="16" w16cid:durableId="2006545841">
    <w:abstractNumId w:val="23"/>
  </w:num>
  <w:num w:numId="17" w16cid:durableId="1232733418">
    <w:abstractNumId w:val="23"/>
  </w:num>
  <w:num w:numId="18" w16cid:durableId="212890393">
    <w:abstractNumId w:val="23"/>
  </w:num>
  <w:num w:numId="19" w16cid:durableId="1274510999">
    <w:abstractNumId w:val="23"/>
  </w:num>
  <w:num w:numId="20" w16cid:durableId="592515535">
    <w:abstractNumId w:val="3"/>
  </w:num>
  <w:num w:numId="21" w16cid:durableId="2143229360">
    <w:abstractNumId w:val="15"/>
  </w:num>
  <w:num w:numId="22" w16cid:durableId="1464226369">
    <w:abstractNumId w:val="7"/>
  </w:num>
  <w:num w:numId="23" w16cid:durableId="82651955">
    <w:abstractNumId w:val="16"/>
  </w:num>
  <w:num w:numId="24" w16cid:durableId="479228568">
    <w:abstractNumId w:val="5"/>
  </w:num>
  <w:num w:numId="25" w16cid:durableId="110976691">
    <w:abstractNumId w:val="12"/>
  </w:num>
  <w:num w:numId="26" w16cid:durableId="2119525156">
    <w:abstractNumId w:val="22"/>
  </w:num>
  <w:num w:numId="27" w16cid:durableId="518159484">
    <w:abstractNumId w:val="20"/>
  </w:num>
  <w:num w:numId="28" w16cid:durableId="641732266">
    <w:abstractNumId w:val="6"/>
  </w:num>
  <w:num w:numId="29" w16cid:durableId="131930822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0D0"/>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1677"/>
    <w:rsid w:val="000325E2"/>
    <w:rsid w:val="00032814"/>
    <w:rsid w:val="00032FE2"/>
    <w:rsid w:val="00033A7E"/>
    <w:rsid w:val="00034081"/>
    <w:rsid w:val="000368ED"/>
    <w:rsid w:val="000414B0"/>
    <w:rsid w:val="00041D62"/>
    <w:rsid w:val="00041E7A"/>
    <w:rsid w:val="00043F15"/>
    <w:rsid w:val="000447C2"/>
    <w:rsid w:val="00044F5D"/>
    <w:rsid w:val="0004646A"/>
    <w:rsid w:val="00047249"/>
    <w:rsid w:val="00050B29"/>
    <w:rsid w:val="00051134"/>
    <w:rsid w:val="00051C36"/>
    <w:rsid w:val="00051FF1"/>
    <w:rsid w:val="00052227"/>
    <w:rsid w:val="00060971"/>
    <w:rsid w:val="00062DAF"/>
    <w:rsid w:val="0007486B"/>
    <w:rsid w:val="000765DA"/>
    <w:rsid w:val="0007688E"/>
    <w:rsid w:val="000774D4"/>
    <w:rsid w:val="000800F8"/>
    <w:rsid w:val="00080AC9"/>
    <w:rsid w:val="00080E8A"/>
    <w:rsid w:val="00081824"/>
    <w:rsid w:val="00082237"/>
    <w:rsid w:val="00082C60"/>
    <w:rsid w:val="000838BF"/>
    <w:rsid w:val="00087375"/>
    <w:rsid w:val="00090030"/>
    <w:rsid w:val="00090BE0"/>
    <w:rsid w:val="000966FE"/>
    <w:rsid w:val="0009692D"/>
    <w:rsid w:val="0009717D"/>
    <w:rsid w:val="000A0153"/>
    <w:rsid w:val="000A2840"/>
    <w:rsid w:val="000A3FA0"/>
    <w:rsid w:val="000A50ED"/>
    <w:rsid w:val="000A5E51"/>
    <w:rsid w:val="000A6504"/>
    <w:rsid w:val="000A7E25"/>
    <w:rsid w:val="000B0238"/>
    <w:rsid w:val="000B0334"/>
    <w:rsid w:val="000B1591"/>
    <w:rsid w:val="000B4C88"/>
    <w:rsid w:val="000C0189"/>
    <w:rsid w:val="000C1D37"/>
    <w:rsid w:val="000C1EFB"/>
    <w:rsid w:val="000C2BFD"/>
    <w:rsid w:val="000C3E72"/>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6F5"/>
    <w:rsid w:val="000E7C4D"/>
    <w:rsid w:val="000F0209"/>
    <w:rsid w:val="000F032D"/>
    <w:rsid w:val="000F1B02"/>
    <w:rsid w:val="000F5E44"/>
    <w:rsid w:val="000F69D3"/>
    <w:rsid w:val="000F7C3F"/>
    <w:rsid w:val="001005D9"/>
    <w:rsid w:val="00103082"/>
    <w:rsid w:val="0010327F"/>
    <w:rsid w:val="001041CB"/>
    <w:rsid w:val="00105D79"/>
    <w:rsid w:val="001118C6"/>
    <w:rsid w:val="00111D68"/>
    <w:rsid w:val="00112C16"/>
    <w:rsid w:val="00112EA1"/>
    <w:rsid w:val="001142EB"/>
    <w:rsid w:val="001163CC"/>
    <w:rsid w:val="001171A6"/>
    <w:rsid w:val="00117650"/>
    <w:rsid w:val="00117703"/>
    <w:rsid w:val="001243BC"/>
    <w:rsid w:val="00124654"/>
    <w:rsid w:val="001252EB"/>
    <w:rsid w:val="0012629D"/>
    <w:rsid w:val="00126645"/>
    <w:rsid w:val="00126F3D"/>
    <w:rsid w:val="00130BB8"/>
    <w:rsid w:val="0013462B"/>
    <w:rsid w:val="00135A76"/>
    <w:rsid w:val="001377B2"/>
    <w:rsid w:val="00137C09"/>
    <w:rsid w:val="00141C0C"/>
    <w:rsid w:val="00141C65"/>
    <w:rsid w:val="001426D8"/>
    <w:rsid w:val="001433C2"/>
    <w:rsid w:val="00143918"/>
    <w:rsid w:val="00144526"/>
    <w:rsid w:val="00145899"/>
    <w:rsid w:val="001458F3"/>
    <w:rsid w:val="001465B7"/>
    <w:rsid w:val="00146FB0"/>
    <w:rsid w:val="00151D0F"/>
    <w:rsid w:val="00152067"/>
    <w:rsid w:val="00154494"/>
    <w:rsid w:val="001562A5"/>
    <w:rsid w:val="00156327"/>
    <w:rsid w:val="00162C3D"/>
    <w:rsid w:val="00163236"/>
    <w:rsid w:val="00163B9F"/>
    <w:rsid w:val="00164FC5"/>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0E1C"/>
    <w:rsid w:val="00195F9F"/>
    <w:rsid w:val="0019604E"/>
    <w:rsid w:val="00197593"/>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39B"/>
    <w:rsid w:val="001D1F77"/>
    <w:rsid w:val="001D2F7B"/>
    <w:rsid w:val="001D3861"/>
    <w:rsid w:val="001D4E33"/>
    <w:rsid w:val="001D5C2F"/>
    <w:rsid w:val="001D5CEC"/>
    <w:rsid w:val="001D76B3"/>
    <w:rsid w:val="001E0B69"/>
    <w:rsid w:val="001E1D67"/>
    <w:rsid w:val="001E2903"/>
    <w:rsid w:val="001E4765"/>
    <w:rsid w:val="001E513A"/>
    <w:rsid w:val="001E66A1"/>
    <w:rsid w:val="001F147E"/>
    <w:rsid w:val="001F14C9"/>
    <w:rsid w:val="001F2229"/>
    <w:rsid w:val="001F40F6"/>
    <w:rsid w:val="001F45AD"/>
    <w:rsid w:val="001F4B92"/>
    <w:rsid w:val="001F645F"/>
    <w:rsid w:val="001F64A9"/>
    <w:rsid w:val="001F754D"/>
    <w:rsid w:val="0020028F"/>
    <w:rsid w:val="00201C64"/>
    <w:rsid w:val="00201E70"/>
    <w:rsid w:val="002046B8"/>
    <w:rsid w:val="00205EFE"/>
    <w:rsid w:val="00206690"/>
    <w:rsid w:val="00207563"/>
    <w:rsid w:val="002106A8"/>
    <w:rsid w:val="00210E38"/>
    <w:rsid w:val="00210F37"/>
    <w:rsid w:val="002130D2"/>
    <w:rsid w:val="00213922"/>
    <w:rsid w:val="002146E6"/>
    <w:rsid w:val="00220209"/>
    <w:rsid w:val="00220937"/>
    <w:rsid w:val="00220FFC"/>
    <w:rsid w:val="00221D92"/>
    <w:rsid w:val="00222BCB"/>
    <w:rsid w:val="00223FDE"/>
    <w:rsid w:val="00225FFD"/>
    <w:rsid w:val="00227CE9"/>
    <w:rsid w:val="00230FAA"/>
    <w:rsid w:val="0023220D"/>
    <w:rsid w:val="0023230D"/>
    <w:rsid w:val="0023520D"/>
    <w:rsid w:val="00235684"/>
    <w:rsid w:val="002373A7"/>
    <w:rsid w:val="00237D7E"/>
    <w:rsid w:val="00240ED0"/>
    <w:rsid w:val="00241A4B"/>
    <w:rsid w:val="00242272"/>
    <w:rsid w:val="002422EA"/>
    <w:rsid w:val="002478EB"/>
    <w:rsid w:val="0025006B"/>
    <w:rsid w:val="00250327"/>
    <w:rsid w:val="00252658"/>
    <w:rsid w:val="00253902"/>
    <w:rsid w:val="002539BC"/>
    <w:rsid w:val="002550E4"/>
    <w:rsid w:val="00255359"/>
    <w:rsid w:val="0025701C"/>
    <w:rsid w:val="0026089D"/>
    <w:rsid w:val="00261D79"/>
    <w:rsid w:val="002633AA"/>
    <w:rsid w:val="00263EA6"/>
    <w:rsid w:val="00264CDF"/>
    <w:rsid w:val="00267874"/>
    <w:rsid w:val="00271F05"/>
    <w:rsid w:val="00271F83"/>
    <w:rsid w:val="00272A83"/>
    <w:rsid w:val="00273B9A"/>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5576"/>
    <w:rsid w:val="002A6577"/>
    <w:rsid w:val="002A6B19"/>
    <w:rsid w:val="002B110C"/>
    <w:rsid w:val="002B521A"/>
    <w:rsid w:val="002C1D2E"/>
    <w:rsid w:val="002C5A6C"/>
    <w:rsid w:val="002C67AF"/>
    <w:rsid w:val="002C7C7C"/>
    <w:rsid w:val="002C7D72"/>
    <w:rsid w:val="002D00C7"/>
    <w:rsid w:val="002D03B1"/>
    <w:rsid w:val="002D1419"/>
    <w:rsid w:val="002D1E4F"/>
    <w:rsid w:val="002D2287"/>
    <w:rsid w:val="002D3192"/>
    <w:rsid w:val="002D3D22"/>
    <w:rsid w:val="002D528B"/>
    <w:rsid w:val="002D561C"/>
    <w:rsid w:val="002E511E"/>
    <w:rsid w:val="002E6680"/>
    <w:rsid w:val="002E6EC7"/>
    <w:rsid w:val="002F754F"/>
    <w:rsid w:val="00301C42"/>
    <w:rsid w:val="00301D41"/>
    <w:rsid w:val="00303150"/>
    <w:rsid w:val="003032F3"/>
    <w:rsid w:val="00303B47"/>
    <w:rsid w:val="00303BC5"/>
    <w:rsid w:val="00303F7C"/>
    <w:rsid w:val="00304BEC"/>
    <w:rsid w:val="003063F8"/>
    <w:rsid w:val="00306ADF"/>
    <w:rsid w:val="003133FC"/>
    <w:rsid w:val="00313C4F"/>
    <w:rsid w:val="00314D37"/>
    <w:rsid w:val="00315413"/>
    <w:rsid w:val="00317B85"/>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49F"/>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39F8"/>
    <w:rsid w:val="003A4742"/>
    <w:rsid w:val="003B0311"/>
    <w:rsid w:val="003B45E1"/>
    <w:rsid w:val="003B483A"/>
    <w:rsid w:val="003B5BE0"/>
    <w:rsid w:val="003C2564"/>
    <w:rsid w:val="003C2F37"/>
    <w:rsid w:val="003C36BD"/>
    <w:rsid w:val="003C5748"/>
    <w:rsid w:val="003C671E"/>
    <w:rsid w:val="003C7CE8"/>
    <w:rsid w:val="003D07AC"/>
    <w:rsid w:val="003D271F"/>
    <w:rsid w:val="003D3043"/>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06"/>
    <w:rsid w:val="00400065"/>
    <w:rsid w:val="0040011D"/>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36B7C"/>
    <w:rsid w:val="00441974"/>
    <w:rsid w:val="0044241A"/>
    <w:rsid w:val="0044241D"/>
    <w:rsid w:val="00443795"/>
    <w:rsid w:val="00444895"/>
    <w:rsid w:val="00445DD4"/>
    <w:rsid w:val="00452BBE"/>
    <w:rsid w:val="00452DCD"/>
    <w:rsid w:val="0045393F"/>
    <w:rsid w:val="00454652"/>
    <w:rsid w:val="00456B1E"/>
    <w:rsid w:val="004609FA"/>
    <w:rsid w:val="00462DDD"/>
    <w:rsid w:val="00463782"/>
    <w:rsid w:val="00464B34"/>
    <w:rsid w:val="0046638E"/>
    <w:rsid w:val="00466DB0"/>
    <w:rsid w:val="00470035"/>
    <w:rsid w:val="0047348F"/>
    <w:rsid w:val="00475615"/>
    <w:rsid w:val="00476276"/>
    <w:rsid w:val="00476F57"/>
    <w:rsid w:val="004773EB"/>
    <w:rsid w:val="00477589"/>
    <w:rsid w:val="00480E85"/>
    <w:rsid w:val="00480ECE"/>
    <w:rsid w:val="00481178"/>
    <w:rsid w:val="00481759"/>
    <w:rsid w:val="0048264C"/>
    <w:rsid w:val="004829E4"/>
    <w:rsid w:val="00483F78"/>
    <w:rsid w:val="00485D13"/>
    <w:rsid w:val="0048727B"/>
    <w:rsid w:val="00487D39"/>
    <w:rsid w:val="00490951"/>
    <w:rsid w:val="00491760"/>
    <w:rsid w:val="00492040"/>
    <w:rsid w:val="004921FC"/>
    <w:rsid w:val="00493BBC"/>
    <w:rsid w:val="004942F0"/>
    <w:rsid w:val="00496F52"/>
    <w:rsid w:val="004971D2"/>
    <w:rsid w:val="004A1AA3"/>
    <w:rsid w:val="004A32DE"/>
    <w:rsid w:val="004A3AD3"/>
    <w:rsid w:val="004A4CDA"/>
    <w:rsid w:val="004A5884"/>
    <w:rsid w:val="004A6958"/>
    <w:rsid w:val="004A7255"/>
    <w:rsid w:val="004A7959"/>
    <w:rsid w:val="004B22F1"/>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49FF"/>
    <w:rsid w:val="004D706F"/>
    <w:rsid w:val="004E0D5C"/>
    <w:rsid w:val="004E1460"/>
    <w:rsid w:val="004E150A"/>
    <w:rsid w:val="004E1AE1"/>
    <w:rsid w:val="004E27A3"/>
    <w:rsid w:val="004E3069"/>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373"/>
    <w:rsid w:val="00507E98"/>
    <w:rsid w:val="0051133A"/>
    <w:rsid w:val="005113AB"/>
    <w:rsid w:val="00511829"/>
    <w:rsid w:val="0051312B"/>
    <w:rsid w:val="00515289"/>
    <w:rsid w:val="00515BE6"/>
    <w:rsid w:val="00516E05"/>
    <w:rsid w:val="005175C6"/>
    <w:rsid w:val="00520EEB"/>
    <w:rsid w:val="0052358D"/>
    <w:rsid w:val="00523E75"/>
    <w:rsid w:val="00527DB8"/>
    <w:rsid w:val="00530AE8"/>
    <w:rsid w:val="00530CFE"/>
    <w:rsid w:val="00533AD8"/>
    <w:rsid w:val="00534DC9"/>
    <w:rsid w:val="005351FA"/>
    <w:rsid w:val="005356F2"/>
    <w:rsid w:val="005401CE"/>
    <w:rsid w:val="00541855"/>
    <w:rsid w:val="00541D99"/>
    <w:rsid w:val="00542A41"/>
    <w:rsid w:val="005437D9"/>
    <w:rsid w:val="00543B85"/>
    <w:rsid w:val="005440F5"/>
    <w:rsid w:val="005462B0"/>
    <w:rsid w:val="0055233F"/>
    <w:rsid w:val="00553814"/>
    <w:rsid w:val="005540A1"/>
    <w:rsid w:val="00554342"/>
    <w:rsid w:val="0055459C"/>
    <w:rsid w:val="005550EB"/>
    <w:rsid w:val="00555676"/>
    <w:rsid w:val="00555D22"/>
    <w:rsid w:val="00560D34"/>
    <w:rsid w:val="00563045"/>
    <w:rsid w:val="0056698A"/>
    <w:rsid w:val="00571156"/>
    <w:rsid w:val="0057323E"/>
    <w:rsid w:val="0057524F"/>
    <w:rsid w:val="00575B4E"/>
    <w:rsid w:val="00581A4C"/>
    <w:rsid w:val="00584E14"/>
    <w:rsid w:val="00586F6A"/>
    <w:rsid w:val="00591087"/>
    <w:rsid w:val="005912E4"/>
    <w:rsid w:val="00595BD0"/>
    <w:rsid w:val="00595CA4"/>
    <w:rsid w:val="00595FF5"/>
    <w:rsid w:val="00597D5A"/>
    <w:rsid w:val="005A04CC"/>
    <w:rsid w:val="005A18FD"/>
    <w:rsid w:val="005A21C3"/>
    <w:rsid w:val="005A5593"/>
    <w:rsid w:val="005A5BA6"/>
    <w:rsid w:val="005B115A"/>
    <w:rsid w:val="005B138B"/>
    <w:rsid w:val="005B3B43"/>
    <w:rsid w:val="005B4188"/>
    <w:rsid w:val="005B4764"/>
    <w:rsid w:val="005B5BB2"/>
    <w:rsid w:val="005B5E0C"/>
    <w:rsid w:val="005B70C4"/>
    <w:rsid w:val="005B7214"/>
    <w:rsid w:val="005C308F"/>
    <w:rsid w:val="005C3719"/>
    <w:rsid w:val="005C3D27"/>
    <w:rsid w:val="005C4E4F"/>
    <w:rsid w:val="005C572B"/>
    <w:rsid w:val="005C772A"/>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5A5F"/>
    <w:rsid w:val="00606346"/>
    <w:rsid w:val="00607DBD"/>
    <w:rsid w:val="00610802"/>
    <w:rsid w:val="00612C72"/>
    <w:rsid w:val="0061379C"/>
    <w:rsid w:val="00614870"/>
    <w:rsid w:val="00615F4D"/>
    <w:rsid w:val="006161C7"/>
    <w:rsid w:val="0061650D"/>
    <w:rsid w:val="00616F6A"/>
    <w:rsid w:val="00617AC4"/>
    <w:rsid w:val="00623D38"/>
    <w:rsid w:val="006269B3"/>
    <w:rsid w:val="006314BA"/>
    <w:rsid w:val="00631C48"/>
    <w:rsid w:val="00631EE8"/>
    <w:rsid w:val="006327ED"/>
    <w:rsid w:val="0063484E"/>
    <w:rsid w:val="00635318"/>
    <w:rsid w:val="00636E50"/>
    <w:rsid w:val="00641FF8"/>
    <w:rsid w:val="006438C6"/>
    <w:rsid w:val="00645AB7"/>
    <w:rsid w:val="00645C38"/>
    <w:rsid w:val="00645EB6"/>
    <w:rsid w:val="00646936"/>
    <w:rsid w:val="00647D51"/>
    <w:rsid w:val="006546EA"/>
    <w:rsid w:val="006562BB"/>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D7C8C"/>
    <w:rsid w:val="006E15FE"/>
    <w:rsid w:val="006E35CD"/>
    <w:rsid w:val="006F2722"/>
    <w:rsid w:val="006F33D4"/>
    <w:rsid w:val="006F41DC"/>
    <w:rsid w:val="006F66CD"/>
    <w:rsid w:val="006F66EA"/>
    <w:rsid w:val="006F6E14"/>
    <w:rsid w:val="007007FC"/>
    <w:rsid w:val="00701AD9"/>
    <w:rsid w:val="007029C6"/>
    <w:rsid w:val="007029F2"/>
    <w:rsid w:val="00702A83"/>
    <w:rsid w:val="00703BCE"/>
    <w:rsid w:val="0070433F"/>
    <w:rsid w:val="007043A1"/>
    <w:rsid w:val="007043FF"/>
    <w:rsid w:val="0070506E"/>
    <w:rsid w:val="00705B46"/>
    <w:rsid w:val="00706E08"/>
    <w:rsid w:val="007103B3"/>
    <w:rsid w:val="00710970"/>
    <w:rsid w:val="00710DE0"/>
    <w:rsid w:val="00711429"/>
    <w:rsid w:val="007121B2"/>
    <w:rsid w:val="00714143"/>
    <w:rsid w:val="0071431D"/>
    <w:rsid w:val="00715819"/>
    <w:rsid w:val="00716D73"/>
    <w:rsid w:val="0072225D"/>
    <w:rsid w:val="00722435"/>
    <w:rsid w:val="007240D8"/>
    <w:rsid w:val="007261AB"/>
    <w:rsid w:val="007314A9"/>
    <w:rsid w:val="0073218D"/>
    <w:rsid w:val="007324AA"/>
    <w:rsid w:val="0073639B"/>
    <w:rsid w:val="007370CD"/>
    <w:rsid w:val="00740573"/>
    <w:rsid w:val="007437CA"/>
    <w:rsid w:val="00746086"/>
    <w:rsid w:val="00746A5A"/>
    <w:rsid w:val="00750204"/>
    <w:rsid w:val="00753C87"/>
    <w:rsid w:val="00754DF2"/>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86D13"/>
    <w:rsid w:val="007930A1"/>
    <w:rsid w:val="007941F2"/>
    <w:rsid w:val="0079426F"/>
    <w:rsid w:val="00795437"/>
    <w:rsid w:val="007955B8"/>
    <w:rsid w:val="00796BE2"/>
    <w:rsid w:val="007976FA"/>
    <w:rsid w:val="007A1327"/>
    <w:rsid w:val="007A44A1"/>
    <w:rsid w:val="007A5446"/>
    <w:rsid w:val="007A70EC"/>
    <w:rsid w:val="007A74A3"/>
    <w:rsid w:val="007A74C3"/>
    <w:rsid w:val="007B137C"/>
    <w:rsid w:val="007B4950"/>
    <w:rsid w:val="007B5CF2"/>
    <w:rsid w:val="007B711F"/>
    <w:rsid w:val="007C3CEF"/>
    <w:rsid w:val="007C503B"/>
    <w:rsid w:val="007C6379"/>
    <w:rsid w:val="007C7225"/>
    <w:rsid w:val="007D0C1A"/>
    <w:rsid w:val="007D14A4"/>
    <w:rsid w:val="007D1C58"/>
    <w:rsid w:val="007D27D4"/>
    <w:rsid w:val="007D2BA3"/>
    <w:rsid w:val="007D34D8"/>
    <w:rsid w:val="007D39A2"/>
    <w:rsid w:val="007D50EB"/>
    <w:rsid w:val="007D7453"/>
    <w:rsid w:val="007D7EEA"/>
    <w:rsid w:val="007E1F9A"/>
    <w:rsid w:val="007E2B7E"/>
    <w:rsid w:val="007E3683"/>
    <w:rsid w:val="007E405C"/>
    <w:rsid w:val="007E432C"/>
    <w:rsid w:val="007E60B1"/>
    <w:rsid w:val="007E6ADE"/>
    <w:rsid w:val="007F0AFE"/>
    <w:rsid w:val="007F1BCB"/>
    <w:rsid w:val="007F3A39"/>
    <w:rsid w:val="007F4426"/>
    <w:rsid w:val="007F5D38"/>
    <w:rsid w:val="007F680D"/>
    <w:rsid w:val="007F7348"/>
    <w:rsid w:val="007F7578"/>
    <w:rsid w:val="007F7962"/>
    <w:rsid w:val="00803956"/>
    <w:rsid w:val="00805494"/>
    <w:rsid w:val="0080730A"/>
    <w:rsid w:val="00811B48"/>
    <w:rsid w:val="00812B14"/>
    <w:rsid w:val="00812B72"/>
    <w:rsid w:val="008132E1"/>
    <w:rsid w:val="00814078"/>
    <w:rsid w:val="008142A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16FF"/>
    <w:rsid w:val="008323EC"/>
    <w:rsid w:val="008329AA"/>
    <w:rsid w:val="008342BC"/>
    <w:rsid w:val="00834629"/>
    <w:rsid w:val="0083527C"/>
    <w:rsid w:val="00840BDE"/>
    <w:rsid w:val="008426AB"/>
    <w:rsid w:val="008431D6"/>
    <w:rsid w:val="00843D35"/>
    <w:rsid w:val="00844783"/>
    <w:rsid w:val="008474C1"/>
    <w:rsid w:val="0085298D"/>
    <w:rsid w:val="00852ECD"/>
    <w:rsid w:val="00857118"/>
    <w:rsid w:val="00857419"/>
    <w:rsid w:val="00857A84"/>
    <w:rsid w:val="00860E71"/>
    <w:rsid w:val="00861BE6"/>
    <w:rsid w:val="00862F6E"/>
    <w:rsid w:val="00863DB0"/>
    <w:rsid w:val="008649EF"/>
    <w:rsid w:val="0086622F"/>
    <w:rsid w:val="0087030D"/>
    <w:rsid w:val="008731B4"/>
    <w:rsid w:val="00873F4F"/>
    <w:rsid w:val="00874E7C"/>
    <w:rsid w:val="00877B04"/>
    <w:rsid w:val="00880A2F"/>
    <w:rsid w:val="00882E0B"/>
    <w:rsid w:val="0088318A"/>
    <w:rsid w:val="00883DC9"/>
    <w:rsid w:val="00883E24"/>
    <w:rsid w:val="008840C6"/>
    <w:rsid w:val="008855FD"/>
    <w:rsid w:val="00887A95"/>
    <w:rsid w:val="0089131D"/>
    <w:rsid w:val="0089154F"/>
    <w:rsid w:val="00891BD8"/>
    <w:rsid w:val="00894643"/>
    <w:rsid w:val="008950BC"/>
    <w:rsid w:val="00895C94"/>
    <w:rsid w:val="0089723F"/>
    <w:rsid w:val="00897364"/>
    <w:rsid w:val="008973CD"/>
    <w:rsid w:val="008973CE"/>
    <w:rsid w:val="008A0B62"/>
    <w:rsid w:val="008A2E1C"/>
    <w:rsid w:val="008A3014"/>
    <w:rsid w:val="008B5F7D"/>
    <w:rsid w:val="008B604D"/>
    <w:rsid w:val="008C0244"/>
    <w:rsid w:val="008C04CC"/>
    <w:rsid w:val="008C0853"/>
    <w:rsid w:val="008C1262"/>
    <w:rsid w:val="008C1C6B"/>
    <w:rsid w:val="008C1CF9"/>
    <w:rsid w:val="008C4785"/>
    <w:rsid w:val="008C6D4A"/>
    <w:rsid w:val="008C7393"/>
    <w:rsid w:val="008C7C39"/>
    <w:rsid w:val="008D1874"/>
    <w:rsid w:val="008D18B1"/>
    <w:rsid w:val="008D3096"/>
    <w:rsid w:val="008D36CB"/>
    <w:rsid w:val="008D3B87"/>
    <w:rsid w:val="008D4A86"/>
    <w:rsid w:val="008E0184"/>
    <w:rsid w:val="008E08E2"/>
    <w:rsid w:val="008E0D26"/>
    <w:rsid w:val="008E1588"/>
    <w:rsid w:val="008E1FEE"/>
    <w:rsid w:val="008E2257"/>
    <w:rsid w:val="008E22B3"/>
    <w:rsid w:val="008E28E0"/>
    <w:rsid w:val="008E2F3D"/>
    <w:rsid w:val="008E3C51"/>
    <w:rsid w:val="008E3ED7"/>
    <w:rsid w:val="008E3F16"/>
    <w:rsid w:val="008E44B5"/>
    <w:rsid w:val="008E4DD4"/>
    <w:rsid w:val="008E7B45"/>
    <w:rsid w:val="008F11B6"/>
    <w:rsid w:val="008F1792"/>
    <w:rsid w:val="008F192B"/>
    <w:rsid w:val="008F2E06"/>
    <w:rsid w:val="008F460C"/>
    <w:rsid w:val="008F6B06"/>
    <w:rsid w:val="008F726D"/>
    <w:rsid w:val="00901DA8"/>
    <w:rsid w:val="00902C4D"/>
    <w:rsid w:val="0090511E"/>
    <w:rsid w:val="00910B36"/>
    <w:rsid w:val="00913D17"/>
    <w:rsid w:val="00914F7A"/>
    <w:rsid w:val="00915B7B"/>
    <w:rsid w:val="00917004"/>
    <w:rsid w:val="00920516"/>
    <w:rsid w:val="00920D64"/>
    <w:rsid w:val="00921F03"/>
    <w:rsid w:val="0092369C"/>
    <w:rsid w:val="00923AB5"/>
    <w:rsid w:val="00925E16"/>
    <w:rsid w:val="009267AA"/>
    <w:rsid w:val="009315D0"/>
    <w:rsid w:val="00933007"/>
    <w:rsid w:val="009337E9"/>
    <w:rsid w:val="00933D39"/>
    <w:rsid w:val="0093792E"/>
    <w:rsid w:val="00941E75"/>
    <w:rsid w:val="009447BB"/>
    <w:rsid w:val="009460DC"/>
    <w:rsid w:val="009463AB"/>
    <w:rsid w:val="009510E6"/>
    <w:rsid w:val="009511AA"/>
    <w:rsid w:val="00951268"/>
    <w:rsid w:val="009536C1"/>
    <w:rsid w:val="00953B1E"/>
    <w:rsid w:val="0095502D"/>
    <w:rsid w:val="00955E6C"/>
    <w:rsid w:val="0095630C"/>
    <w:rsid w:val="00956F2C"/>
    <w:rsid w:val="0096136D"/>
    <w:rsid w:val="00961435"/>
    <w:rsid w:val="0096180A"/>
    <w:rsid w:val="00962AEA"/>
    <w:rsid w:val="00965474"/>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5858"/>
    <w:rsid w:val="0099607A"/>
    <w:rsid w:val="0099789A"/>
    <w:rsid w:val="00997CAD"/>
    <w:rsid w:val="009A1AE6"/>
    <w:rsid w:val="009A1F38"/>
    <w:rsid w:val="009A2BEF"/>
    <w:rsid w:val="009A39BC"/>
    <w:rsid w:val="009A4101"/>
    <w:rsid w:val="009A518F"/>
    <w:rsid w:val="009A6569"/>
    <w:rsid w:val="009A7B6F"/>
    <w:rsid w:val="009B09F4"/>
    <w:rsid w:val="009B0AD4"/>
    <w:rsid w:val="009B3045"/>
    <w:rsid w:val="009B364E"/>
    <w:rsid w:val="009B429D"/>
    <w:rsid w:val="009B6A6D"/>
    <w:rsid w:val="009C193E"/>
    <w:rsid w:val="009C225A"/>
    <w:rsid w:val="009D1648"/>
    <w:rsid w:val="009D25AA"/>
    <w:rsid w:val="009D2BA4"/>
    <w:rsid w:val="009D48B1"/>
    <w:rsid w:val="009D6BBC"/>
    <w:rsid w:val="009E1DA8"/>
    <w:rsid w:val="009E2337"/>
    <w:rsid w:val="009E299B"/>
    <w:rsid w:val="009E4DAD"/>
    <w:rsid w:val="009E4F07"/>
    <w:rsid w:val="009E6780"/>
    <w:rsid w:val="009F073C"/>
    <w:rsid w:val="009F0B59"/>
    <w:rsid w:val="009F0CCB"/>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4A60"/>
    <w:rsid w:val="00A162A6"/>
    <w:rsid w:val="00A17E7E"/>
    <w:rsid w:val="00A21C61"/>
    <w:rsid w:val="00A31DB0"/>
    <w:rsid w:val="00A35363"/>
    <w:rsid w:val="00A3683C"/>
    <w:rsid w:val="00A37CC1"/>
    <w:rsid w:val="00A418D7"/>
    <w:rsid w:val="00A41B44"/>
    <w:rsid w:val="00A4263C"/>
    <w:rsid w:val="00A42BEF"/>
    <w:rsid w:val="00A43A77"/>
    <w:rsid w:val="00A43AC4"/>
    <w:rsid w:val="00A4411E"/>
    <w:rsid w:val="00A4468C"/>
    <w:rsid w:val="00A44CA1"/>
    <w:rsid w:val="00A45251"/>
    <w:rsid w:val="00A45DA0"/>
    <w:rsid w:val="00A45E53"/>
    <w:rsid w:val="00A52864"/>
    <w:rsid w:val="00A5401F"/>
    <w:rsid w:val="00A57509"/>
    <w:rsid w:val="00A63B53"/>
    <w:rsid w:val="00A63D39"/>
    <w:rsid w:val="00A64442"/>
    <w:rsid w:val="00A659EB"/>
    <w:rsid w:val="00A665CD"/>
    <w:rsid w:val="00A71427"/>
    <w:rsid w:val="00A73DEF"/>
    <w:rsid w:val="00A7416A"/>
    <w:rsid w:val="00A7454C"/>
    <w:rsid w:val="00A75130"/>
    <w:rsid w:val="00A768C0"/>
    <w:rsid w:val="00A778C4"/>
    <w:rsid w:val="00A80284"/>
    <w:rsid w:val="00A846C1"/>
    <w:rsid w:val="00A8680A"/>
    <w:rsid w:val="00A92A1D"/>
    <w:rsid w:val="00A9327E"/>
    <w:rsid w:val="00A9630E"/>
    <w:rsid w:val="00A97752"/>
    <w:rsid w:val="00AA004D"/>
    <w:rsid w:val="00AA1889"/>
    <w:rsid w:val="00AA6D6C"/>
    <w:rsid w:val="00AB0D22"/>
    <w:rsid w:val="00AB0D49"/>
    <w:rsid w:val="00AB1406"/>
    <w:rsid w:val="00AB2D9C"/>
    <w:rsid w:val="00AB4D78"/>
    <w:rsid w:val="00AB71A3"/>
    <w:rsid w:val="00AB7AFA"/>
    <w:rsid w:val="00AC185F"/>
    <w:rsid w:val="00AC4065"/>
    <w:rsid w:val="00AC510B"/>
    <w:rsid w:val="00AC54EC"/>
    <w:rsid w:val="00AD0F6A"/>
    <w:rsid w:val="00AD12AD"/>
    <w:rsid w:val="00AD1F22"/>
    <w:rsid w:val="00AD3039"/>
    <w:rsid w:val="00AD56FD"/>
    <w:rsid w:val="00AD6F4C"/>
    <w:rsid w:val="00AE0E41"/>
    <w:rsid w:val="00AE20AF"/>
    <w:rsid w:val="00AE4B90"/>
    <w:rsid w:val="00AE54A4"/>
    <w:rsid w:val="00AE73E4"/>
    <w:rsid w:val="00AF0289"/>
    <w:rsid w:val="00AF043E"/>
    <w:rsid w:val="00AF1D3A"/>
    <w:rsid w:val="00AF3670"/>
    <w:rsid w:val="00AF3A41"/>
    <w:rsid w:val="00AF4AE3"/>
    <w:rsid w:val="00AF7A3E"/>
    <w:rsid w:val="00B005B6"/>
    <w:rsid w:val="00B00C03"/>
    <w:rsid w:val="00B00C94"/>
    <w:rsid w:val="00B01D12"/>
    <w:rsid w:val="00B03FB6"/>
    <w:rsid w:val="00B04717"/>
    <w:rsid w:val="00B06914"/>
    <w:rsid w:val="00B069C9"/>
    <w:rsid w:val="00B10DFB"/>
    <w:rsid w:val="00B12A3A"/>
    <w:rsid w:val="00B12C52"/>
    <w:rsid w:val="00B13AE6"/>
    <w:rsid w:val="00B14AEA"/>
    <w:rsid w:val="00B14F39"/>
    <w:rsid w:val="00B15CD7"/>
    <w:rsid w:val="00B16142"/>
    <w:rsid w:val="00B1622B"/>
    <w:rsid w:val="00B2393D"/>
    <w:rsid w:val="00B23CAF"/>
    <w:rsid w:val="00B2525D"/>
    <w:rsid w:val="00B2597C"/>
    <w:rsid w:val="00B25A4E"/>
    <w:rsid w:val="00B25E5B"/>
    <w:rsid w:val="00B26B3C"/>
    <w:rsid w:val="00B27931"/>
    <w:rsid w:val="00B27D35"/>
    <w:rsid w:val="00B326A3"/>
    <w:rsid w:val="00B32C58"/>
    <w:rsid w:val="00B33BEE"/>
    <w:rsid w:val="00B35EE8"/>
    <w:rsid w:val="00B36993"/>
    <w:rsid w:val="00B37DD2"/>
    <w:rsid w:val="00B40265"/>
    <w:rsid w:val="00B438F5"/>
    <w:rsid w:val="00B4657A"/>
    <w:rsid w:val="00B46AC3"/>
    <w:rsid w:val="00B4785E"/>
    <w:rsid w:val="00B5157D"/>
    <w:rsid w:val="00B532C0"/>
    <w:rsid w:val="00B559DE"/>
    <w:rsid w:val="00B57249"/>
    <w:rsid w:val="00B61312"/>
    <w:rsid w:val="00B62DF0"/>
    <w:rsid w:val="00B634C5"/>
    <w:rsid w:val="00B658E1"/>
    <w:rsid w:val="00B65E76"/>
    <w:rsid w:val="00B713C1"/>
    <w:rsid w:val="00B748F6"/>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3D9C"/>
    <w:rsid w:val="00BA5D34"/>
    <w:rsid w:val="00BA7ECA"/>
    <w:rsid w:val="00BB4BC0"/>
    <w:rsid w:val="00BC006F"/>
    <w:rsid w:val="00BC0128"/>
    <w:rsid w:val="00BC5FE3"/>
    <w:rsid w:val="00BC6B69"/>
    <w:rsid w:val="00BD0CFD"/>
    <w:rsid w:val="00BD0EB0"/>
    <w:rsid w:val="00BD1561"/>
    <w:rsid w:val="00BD304E"/>
    <w:rsid w:val="00BD3552"/>
    <w:rsid w:val="00BD4716"/>
    <w:rsid w:val="00BD54F1"/>
    <w:rsid w:val="00BD798F"/>
    <w:rsid w:val="00BE0A26"/>
    <w:rsid w:val="00BE2459"/>
    <w:rsid w:val="00BE4A50"/>
    <w:rsid w:val="00BE4BAD"/>
    <w:rsid w:val="00BE5239"/>
    <w:rsid w:val="00BE5C05"/>
    <w:rsid w:val="00BE5CFA"/>
    <w:rsid w:val="00BF0155"/>
    <w:rsid w:val="00BF08A1"/>
    <w:rsid w:val="00BF1199"/>
    <w:rsid w:val="00BF19BA"/>
    <w:rsid w:val="00BF2176"/>
    <w:rsid w:val="00BF241A"/>
    <w:rsid w:val="00BF2B99"/>
    <w:rsid w:val="00BF35DA"/>
    <w:rsid w:val="00BF3BD7"/>
    <w:rsid w:val="00BF5C93"/>
    <w:rsid w:val="00BF70E6"/>
    <w:rsid w:val="00BF7F94"/>
    <w:rsid w:val="00C0007E"/>
    <w:rsid w:val="00C01348"/>
    <w:rsid w:val="00C03651"/>
    <w:rsid w:val="00C039FA"/>
    <w:rsid w:val="00C04213"/>
    <w:rsid w:val="00C05D37"/>
    <w:rsid w:val="00C1145E"/>
    <w:rsid w:val="00C119BC"/>
    <w:rsid w:val="00C15CF8"/>
    <w:rsid w:val="00C1667A"/>
    <w:rsid w:val="00C16B94"/>
    <w:rsid w:val="00C16D49"/>
    <w:rsid w:val="00C22538"/>
    <w:rsid w:val="00C228A8"/>
    <w:rsid w:val="00C22A9A"/>
    <w:rsid w:val="00C22CFC"/>
    <w:rsid w:val="00C248FA"/>
    <w:rsid w:val="00C24ED2"/>
    <w:rsid w:val="00C25D25"/>
    <w:rsid w:val="00C27AEC"/>
    <w:rsid w:val="00C30CBF"/>
    <w:rsid w:val="00C3155D"/>
    <w:rsid w:val="00C31CE1"/>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0CA0"/>
    <w:rsid w:val="00C50D0E"/>
    <w:rsid w:val="00C510DA"/>
    <w:rsid w:val="00C51219"/>
    <w:rsid w:val="00C51253"/>
    <w:rsid w:val="00C53614"/>
    <w:rsid w:val="00C54DCA"/>
    <w:rsid w:val="00C63369"/>
    <w:rsid w:val="00C63C8A"/>
    <w:rsid w:val="00C648DB"/>
    <w:rsid w:val="00C64B83"/>
    <w:rsid w:val="00C65631"/>
    <w:rsid w:val="00C6709E"/>
    <w:rsid w:val="00C70E32"/>
    <w:rsid w:val="00C73C43"/>
    <w:rsid w:val="00C75AA6"/>
    <w:rsid w:val="00C771BF"/>
    <w:rsid w:val="00C81574"/>
    <w:rsid w:val="00C82626"/>
    <w:rsid w:val="00C831D4"/>
    <w:rsid w:val="00C85326"/>
    <w:rsid w:val="00C854EF"/>
    <w:rsid w:val="00C8599D"/>
    <w:rsid w:val="00C861BB"/>
    <w:rsid w:val="00C87F35"/>
    <w:rsid w:val="00C91701"/>
    <w:rsid w:val="00C932E1"/>
    <w:rsid w:val="00C96C6B"/>
    <w:rsid w:val="00C979C0"/>
    <w:rsid w:val="00CA00EB"/>
    <w:rsid w:val="00CA0FCD"/>
    <w:rsid w:val="00CA2543"/>
    <w:rsid w:val="00CA4608"/>
    <w:rsid w:val="00CA490A"/>
    <w:rsid w:val="00CA5C4B"/>
    <w:rsid w:val="00CA69F9"/>
    <w:rsid w:val="00CA78CB"/>
    <w:rsid w:val="00CB03A8"/>
    <w:rsid w:val="00CB11CB"/>
    <w:rsid w:val="00CB3A66"/>
    <w:rsid w:val="00CB4DEB"/>
    <w:rsid w:val="00CB4EA5"/>
    <w:rsid w:val="00CB6311"/>
    <w:rsid w:val="00CB65FB"/>
    <w:rsid w:val="00CB7487"/>
    <w:rsid w:val="00CB7770"/>
    <w:rsid w:val="00CC0FC1"/>
    <w:rsid w:val="00CC1339"/>
    <w:rsid w:val="00CC20EC"/>
    <w:rsid w:val="00CC28BA"/>
    <w:rsid w:val="00CC4343"/>
    <w:rsid w:val="00CC43B6"/>
    <w:rsid w:val="00CC599A"/>
    <w:rsid w:val="00CC5A2D"/>
    <w:rsid w:val="00CC6BD5"/>
    <w:rsid w:val="00CD1BD2"/>
    <w:rsid w:val="00CD2291"/>
    <w:rsid w:val="00CD2474"/>
    <w:rsid w:val="00CD2ED9"/>
    <w:rsid w:val="00CD31C6"/>
    <w:rsid w:val="00CD3466"/>
    <w:rsid w:val="00CD4190"/>
    <w:rsid w:val="00CD4614"/>
    <w:rsid w:val="00CD5A10"/>
    <w:rsid w:val="00CD74DF"/>
    <w:rsid w:val="00CE00CC"/>
    <w:rsid w:val="00CE05DC"/>
    <w:rsid w:val="00CE5184"/>
    <w:rsid w:val="00CE521A"/>
    <w:rsid w:val="00CE6CED"/>
    <w:rsid w:val="00CE7000"/>
    <w:rsid w:val="00CE7633"/>
    <w:rsid w:val="00CE7C76"/>
    <w:rsid w:val="00CF41D4"/>
    <w:rsid w:val="00CF5E65"/>
    <w:rsid w:val="00CF6CE7"/>
    <w:rsid w:val="00D003E1"/>
    <w:rsid w:val="00D01268"/>
    <w:rsid w:val="00D01449"/>
    <w:rsid w:val="00D01C0D"/>
    <w:rsid w:val="00D01E64"/>
    <w:rsid w:val="00D02646"/>
    <w:rsid w:val="00D0270C"/>
    <w:rsid w:val="00D0407D"/>
    <w:rsid w:val="00D07DF1"/>
    <w:rsid w:val="00D103D0"/>
    <w:rsid w:val="00D118C0"/>
    <w:rsid w:val="00D1293A"/>
    <w:rsid w:val="00D13719"/>
    <w:rsid w:val="00D140B8"/>
    <w:rsid w:val="00D158C0"/>
    <w:rsid w:val="00D163A8"/>
    <w:rsid w:val="00D179A0"/>
    <w:rsid w:val="00D218B2"/>
    <w:rsid w:val="00D2224F"/>
    <w:rsid w:val="00D22396"/>
    <w:rsid w:val="00D225E1"/>
    <w:rsid w:val="00D2453F"/>
    <w:rsid w:val="00D2609D"/>
    <w:rsid w:val="00D27E55"/>
    <w:rsid w:val="00D27FE8"/>
    <w:rsid w:val="00D319BB"/>
    <w:rsid w:val="00D32189"/>
    <w:rsid w:val="00D32903"/>
    <w:rsid w:val="00D32C27"/>
    <w:rsid w:val="00D3319A"/>
    <w:rsid w:val="00D349BC"/>
    <w:rsid w:val="00D34EEA"/>
    <w:rsid w:val="00D355F2"/>
    <w:rsid w:val="00D36D0E"/>
    <w:rsid w:val="00D414D8"/>
    <w:rsid w:val="00D44BCF"/>
    <w:rsid w:val="00D4572C"/>
    <w:rsid w:val="00D46F3A"/>
    <w:rsid w:val="00D517BA"/>
    <w:rsid w:val="00D53265"/>
    <w:rsid w:val="00D5338C"/>
    <w:rsid w:val="00D53C8B"/>
    <w:rsid w:val="00D54CFC"/>
    <w:rsid w:val="00D572F2"/>
    <w:rsid w:val="00D6083F"/>
    <w:rsid w:val="00D6131C"/>
    <w:rsid w:val="00D62DA2"/>
    <w:rsid w:val="00D64C00"/>
    <w:rsid w:val="00D657C7"/>
    <w:rsid w:val="00D65B8E"/>
    <w:rsid w:val="00D65E7A"/>
    <w:rsid w:val="00D65FF9"/>
    <w:rsid w:val="00D66169"/>
    <w:rsid w:val="00D6622A"/>
    <w:rsid w:val="00D705A6"/>
    <w:rsid w:val="00D70FF3"/>
    <w:rsid w:val="00D71E4A"/>
    <w:rsid w:val="00D81364"/>
    <w:rsid w:val="00D839FA"/>
    <w:rsid w:val="00D840BA"/>
    <w:rsid w:val="00D94E7C"/>
    <w:rsid w:val="00D95ABB"/>
    <w:rsid w:val="00DA208E"/>
    <w:rsid w:val="00DA2842"/>
    <w:rsid w:val="00DA2CCC"/>
    <w:rsid w:val="00DA7270"/>
    <w:rsid w:val="00DB04A4"/>
    <w:rsid w:val="00DB22BE"/>
    <w:rsid w:val="00DB31DA"/>
    <w:rsid w:val="00DB3D65"/>
    <w:rsid w:val="00DB47E8"/>
    <w:rsid w:val="00DB5B07"/>
    <w:rsid w:val="00DB5CBE"/>
    <w:rsid w:val="00DB5CD8"/>
    <w:rsid w:val="00DC1383"/>
    <w:rsid w:val="00DC216C"/>
    <w:rsid w:val="00DC28A1"/>
    <w:rsid w:val="00DC39D4"/>
    <w:rsid w:val="00DC3F6F"/>
    <w:rsid w:val="00DC4B36"/>
    <w:rsid w:val="00DC731B"/>
    <w:rsid w:val="00DC776C"/>
    <w:rsid w:val="00DD0E33"/>
    <w:rsid w:val="00DD1B98"/>
    <w:rsid w:val="00DD1F5F"/>
    <w:rsid w:val="00DD38CC"/>
    <w:rsid w:val="00DD4296"/>
    <w:rsid w:val="00DD5AA5"/>
    <w:rsid w:val="00DE0CE1"/>
    <w:rsid w:val="00DE2094"/>
    <w:rsid w:val="00DE47B1"/>
    <w:rsid w:val="00DE4A99"/>
    <w:rsid w:val="00DE4BAD"/>
    <w:rsid w:val="00DF0720"/>
    <w:rsid w:val="00DF1171"/>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91"/>
    <w:rsid w:val="00E374FC"/>
    <w:rsid w:val="00E37922"/>
    <w:rsid w:val="00E421B7"/>
    <w:rsid w:val="00E427FB"/>
    <w:rsid w:val="00E42D21"/>
    <w:rsid w:val="00E466C7"/>
    <w:rsid w:val="00E468F4"/>
    <w:rsid w:val="00E51183"/>
    <w:rsid w:val="00E54284"/>
    <w:rsid w:val="00E5504A"/>
    <w:rsid w:val="00E60C2F"/>
    <w:rsid w:val="00E63111"/>
    <w:rsid w:val="00E6328E"/>
    <w:rsid w:val="00E63AC1"/>
    <w:rsid w:val="00E63D8D"/>
    <w:rsid w:val="00E6493F"/>
    <w:rsid w:val="00E656F0"/>
    <w:rsid w:val="00E66655"/>
    <w:rsid w:val="00E67E78"/>
    <w:rsid w:val="00E71F01"/>
    <w:rsid w:val="00E72073"/>
    <w:rsid w:val="00E7247B"/>
    <w:rsid w:val="00E72E49"/>
    <w:rsid w:val="00E737B8"/>
    <w:rsid w:val="00E73E9E"/>
    <w:rsid w:val="00E7464A"/>
    <w:rsid w:val="00E74F04"/>
    <w:rsid w:val="00E77364"/>
    <w:rsid w:val="00E811D9"/>
    <w:rsid w:val="00E82076"/>
    <w:rsid w:val="00E82549"/>
    <w:rsid w:val="00E83A99"/>
    <w:rsid w:val="00E847A4"/>
    <w:rsid w:val="00E858AE"/>
    <w:rsid w:val="00E860F4"/>
    <w:rsid w:val="00E861C2"/>
    <w:rsid w:val="00E862D6"/>
    <w:rsid w:val="00E90A9D"/>
    <w:rsid w:val="00E90CF9"/>
    <w:rsid w:val="00E94705"/>
    <w:rsid w:val="00E95C6A"/>
    <w:rsid w:val="00E96252"/>
    <w:rsid w:val="00EA07CA"/>
    <w:rsid w:val="00EA0D5E"/>
    <w:rsid w:val="00EA19B4"/>
    <w:rsid w:val="00EA19E0"/>
    <w:rsid w:val="00EA23E9"/>
    <w:rsid w:val="00EA3DD6"/>
    <w:rsid w:val="00EA49F5"/>
    <w:rsid w:val="00EA7023"/>
    <w:rsid w:val="00EB1A68"/>
    <w:rsid w:val="00EB3516"/>
    <w:rsid w:val="00EB4D1F"/>
    <w:rsid w:val="00EB4DAD"/>
    <w:rsid w:val="00EB618B"/>
    <w:rsid w:val="00EB7363"/>
    <w:rsid w:val="00EC03D1"/>
    <w:rsid w:val="00EC0ED8"/>
    <w:rsid w:val="00EC17E9"/>
    <w:rsid w:val="00EC4E37"/>
    <w:rsid w:val="00EC5837"/>
    <w:rsid w:val="00EC5A5E"/>
    <w:rsid w:val="00EC6745"/>
    <w:rsid w:val="00EC74A0"/>
    <w:rsid w:val="00ED1C2C"/>
    <w:rsid w:val="00ED3A4F"/>
    <w:rsid w:val="00ED7237"/>
    <w:rsid w:val="00EE145B"/>
    <w:rsid w:val="00EE5964"/>
    <w:rsid w:val="00EE5A68"/>
    <w:rsid w:val="00EE6C56"/>
    <w:rsid w:val="00EE6EAB"/>
    <w:rsid w:val="00EF01EB"/>
    <w:rsid w:val="00EF41B7"/>
    <w:rsid w:val="00EF5537"/>
    <w:rsid w:val="00EF5DF7"/>
    <w:rsid w:val="00EF64CF"/>
    <w:rsid w:val="00EF6513"/>
    <w:rsid w:val="00EF69B7"/>
    <w:rsid w:val="00F0094F"/>
    <w:rsid w:val="00F00DEF"/>
    <w:rsid w:val="00F02E80"/>
    <w:rsid w:val="00F042DB"/>
    <w:rsid w:val="00F04439"/>
    <w:rsid w:val="00F04534"/>
    <w:rsid w:val="00F04571"/>
    <w:rsid w:val="00F04659"/>
    <w:rsid w:val="00F04D06"/>
    <w:rsid w:val="00F10A9D"/>
    <w:rsid w:val="00F11D07"/>
    <w:rsid w:val="00F14465"/>
    <w:rsid w:val="00F159DD"/>
    <w:rsid w:val="00F16A49"/>
    <w:rsid w:val="00F17C2A"/>
    <w:rsid w:val="00F23828"/>
    <w:rsid w:val="00F24802"/>
    <w:rsid w:val="00F24C97"/>
    <w:rsid w:val="00F256D1"/>
    <w:rsid w:val="00F2626C"/>
    <w:rsid w:val="00F26AE5"/>
    <w:rsid w:val="00F26E13"/>
    <w:rsid w:val="00F27DDB"/>
    <w:rsid w:val="00F30CB6"/>
    <w:rsid w:val="00F32D8C"/>
    <w:rsid w:val="00F33A94"/>
    <w:rsid w:val="00F35793"/>
    <w:rsid w:val="00F366D2"/>
    <w:rsid w:val="00F37974"/>
    <w:rsid w:val="00F40852"/>
    <w:rsid w:val="00F418A6"/>
    <w:rsid w:val="00F43A64"/>
    <w:rsid w:val="00F46157"/>
    <w:rsid w:val="00F4665C"/>
    <w:rsid w:val="00F47206"/>
    <w:rsid w:val="00F523F2"/>
    <w:rsid w:val="00F527B0"/>
    <w:rsid w:val="00F5355B"/>
    <w:rsid w:val="00F53AA7"/>
    <w:rsid w:val="00F557FD"/>
    <w:rsid w:val="00F57229"/>
    <w:rsid w:val="00F601A4"/>
    <w:rsid w:val="00F60C09"/>
    <w:rsid w:val="00F60E5C"/>
    <w:rsid w:val="00F6150F"/>
    <w:rsid w:val="00F626E0"/>
    <w:rsid w:val="00F62D9B"/>
    <w:rsid w:val="00F635B9"/>
    <w:rsid w:val="00F63C71"/>
    <w:rsid w:val="00F64E1F"/>
    <w:rsid w:val="00F65287"/>
    <w:rsid w:val="00F65D83"/>
    <w:rsid w:val="00F67804"/>
    <w:rsid w:val="00F70D0D"/>
    <w:rsid w:val="00F70DC1"/>
    <w:rsid w:val="00F71B56"/>
    <w:rsid w:val="00F72741"/>
    <w:rsid w:val="00F731EE"/>
    <w:rsid w:val="00F733A0"/>
    <w:rsid w:val="00F739BE"/>
    <w:rsid w:val="00F75B8C"/>
    <w:rsid w:val="00F76E04"/>
    <w:rsid w:val="00F833A7"/>
    <w:rsid w:val="00F84D94"/>
    <w:rsid w:val="00F85AD9"/>
    <w:rsid w:val="00F86123"/>
    <w:rsid w:val="00F86166"/>
    <w:rsid w:val="00F9091F"/>
    <w:rsid w:val="00F909C9"/>
    <w:rsid w:val="00F91D0E"/>
    <w:rsid w:val="00F92865"/>
    <w:rsid w:val="00F94621"/>
    <w:rsid w:val="00F94722"/>
    <w:rsid w:val="00F97D57"/>
    <w:rsid w:val="00FA10D3"/>
    <w:rsid w:val="00FA1477"/>
    <w:rsid w:val="00FA4522"/>
    <w:rsid w:val="00FA5702"/>
    <w:rsid w:val="00FA59FD"/>
    <w:rsid w:val="00FA6A14"/>
    <w:rsid w:val="00FB11DD"/>
    <w:rsid w:val="00FB1E72"/>
    <w:rsid w:val="00FB1F5B"/>
    <w:rsid w:val="00FB2789"/>
    <w:rsid w:val="00FB2DAF"/>
    <w:rsid w:val="00FB674D"/>
    <w:rsid w:val="00FC32E6"/>
    <w:rsid w:val="00FC348F"/>
    <w:rsid w:val="00FC4861"/>
    <w:rsid w:val="00FC789F"/>
    <w:rsid w:val="00FC7B44"/>
    <w:rsid w:val="00FD1264"/>
    <w:rsid w:val="00FD196C"/>
    <w:rsid w:val="00FD21CF"/>
    <w:rsid w:val="00FD25C4"/>
    <w:rsid w:val="00FD5D7B"/>
    <w:rsid w:val="00FD71C7"/>
    <w:rsid w:val="00FD7383"/>
    <w:rsid w:val="00FD755E"/>
    <w:rsid w:val="00FE09B9"/>
    <w:rsid w:val="00FE124B"/>
    <w:rsid w:val="00FE1700"/>
    <w:rsid w:val="00FE1CC2"/>
    <w:rsid w:val="00FE2B54"/>
    <w:rsid w:val="00FE3E87"/>
    <w:rsid w:val="00FE4F8A"/>
    <w:rsid w:val="00FE508C"/>
    <w:rsid w:val="00FE5F7C"/>
    <w:rsid w:val="00FE6DB0"/>
    <w:rsid w:val="00FF4D7D"/>
    <w:rsid w:val="00FF5616"/>
    <w:rsid w:val="00FF61C0"/>
    <w:rsid w:val="07CF9BF8"/>
    <w:rsid w:val="11BDA3B7"/>
    <w:rsid w:val="2EC99CFA"/>
    <w:rsid w:val="31F4E288"/>
    <w:rsid w:val="4189E2C1"/>
    <w:rsid w:val="4F089848"/>
    <w:rsid w:val="6B90207F"/>
  </w:rsids>
  <w:docVars>
    <w:docVar w:name="AP Job Title" w:val="Not Assigned"/>
    <w:docVar w:name="Date Approved" w:val="11/07/2023"/>
    <w:docVar w:name="Date_Approved" w:val="11/07/2023"/>
    <w:docVar w:name="Document Title" w:val="Close Out Visits (Site) -0508- Procedure"/>
    <w:docVar w:name="Last Periodic Review Date" w:val="11/07/2023"/>
    <w:docVar w:name="Last_Periodic_Review_Date" w:val="11/07/2023"/>
    <w:docVar w:name="Original Creation Date" w:val="11/07/2023"/>
    <w:docVar w:name="Original_Creation_Date" w:val="11/07/2023"/>
    <w:docVar w:name="PO Both" w:val="Audrey King"/>
    <w:docVar w:name="PO_Both" w:val="Audrey King"/>
    <w:docVar w:name="WR Both" w:val="Erica Rocco, Manuel Avedissian"/>
    <w:docVar w:name="WR Department" w:val="YCCI Clinical Research Operations, YCCI Regulatory Affairs"/>
    <w:docVar w:name="WR_Both" w:val="Erica Rocco, Manuel Avedissian"/>
    <w:docVar w:name="__Grammarly_42___1" w:val="H4sIAAAAAAAEAKtWcslP9kxRslIyNDY2NDcyMjYytzSxNDQwMzRT0lEKTi0uzszPAykwNqwFAADpBXM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4"/>
      </w:numPr>
      <w:tabs>
        <w:tab w:val="clear" w:pos="360"/>
      </w:tabs>
      <w:spacing w:before="60" w:after="60"/>
      <w:ind w:left="1530"/>
    </w:pPr>
  </w:style>
  <w:style w:type="paragraph" w:customStyle="1" w:styleId="SectionNumberedList">
    <w:name w:val="Section Numbered List"/>
    <w:basedOn w:val="Normal"/>
    <w:rsid w:val="003D271F"/>
    <w:pPr>
      <w:numPr>
        <w:numId w:val="5"/>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6"/>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3"/>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2"/>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7"/>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7"/>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8"/>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8"/>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8"/>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8"/>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SOP-L1Bullet">
    <w:name w:val="SOP-L1 Bullet"/>
    <w:basedOn w:val="ListParagraph"/>
    <w:qFormat/>
    <w:rsid w:val="006562BB"/>
    <w:pPr>
      <w:keepLines/>
      <w:widowControl w:val="0"/>
      <w:numPr>
        <w:numId w:val="15"/>
      </w:numPr>
      <w:tabs>
        <w:tab w:val="num" w:pos="360"/>
      </w:tabs>
      <w:adjustRightInd w:val="0"/>
      <w:snapToGrid w:val="0"/>
      <w:spacing w:before="0" w:after="120"/>
      <w:ind w:left="720" w:firstLine="0"/>
      <w:contextualSpacing w:val="0"/>
    </w:pPr>
    <w:rPr>
      <w:rFonts w:ascii="Calibri" w:hAnsi="Calibri" w:eastAsiaTheme="minorHAnsi" w:cstheme="minorHAnsi"/>
      <w:sz w:val="22"/>
      <w:szCs w:val="22"/>
    </w:rPr>
  </w:style>
  <w:style w:type="paragraph" w:customStyle="1" w:styleId="SOP-TEXT-ICHCHAPTERS">
    <w:name w:val="SOP-TEXT-ICH CHAPTERS"/>
    <w:basedOn w:val="Normal"/>
    <w:qFormat/>
    <w:rsid w:val="006562BB"/>
    <w:pPr>
      <w:spacing w:before="0" w:after="120"/>
      <w:ind w:left="1800" w:hanging="720"/>
      <w:contextualSpacing w:val="0"/>
    </w:pPr>
    <w:rPr>
      <w:rFonts w:ascii="Calibri" w:hAnsi="Calibri"/>
      <w:bCs/>
      <w:snapToGrid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mailto:ycci.sop@yale.edu" TargetMode="External" /><Relationship Id="rId14" Type="http://schemas.openxmlformats.org/officeDocument/2006/relationships/hyperlink" Target="https://your.yale.edu/sites/default/files/irb_policy_730_humanresearchrecordandbiologicalspecimenretentionandtransfer.pdf" TargetMode="External" /><Relationship Id="rId15" Type="http://schemas.openxmlformats.org/officeDocument/2006/relationships/hyperlink" Target="https://medicine.yale.edu/ycci/researchservices/supportservices/general/toolsandtemplates/" TargetMode="External" /><Relationship Id="rId16" Type="http://schemas.openxmlformats.org/officeDocument/2006/relationships/hyperlink" Target="https://medicine.yale.edu/ycci/researchservices/systems/23_eReg%20Guidance%20-%20Review%20Sessions%2C%20v2.0_2022.05.23%5B44%5D_435407_284_47216_v2.pdf" TargetMode="External" /><Relationship Id="rId17" Type="http://schemas.openxmlformats.org/officeDocument/2006/relationships/hyperlink" Target="https://redcapynh-p11.ynhh.org/surveys/?s=F4XWHAD8ND" TargetMode="External" /><Relationship Id="rId18" Type="http://schemas.openxmlformats.org/officeDocument/2006/relationships/hyperlink" Target="https://covid19.yale.edu/visitors-policy" TargetMode="Externa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1840</Words>
  <Characters>11198</Characters>
  <Application>Microsoft Office Word</Application>
  <DocSecurity>0</DocSecurity>
  <Lines>228</Lines>
  <Paragraphs>137</Paragraphs>
  <ScaleCrop>false</ScaleCrop>
  <Company>Yale University</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King, Audrey</cp:lastModifiedBy>
  <cp:revision>151</cp:revision>
  <cp:lastPrinted>2015-08-17T19:29:00Z</cp:lastPrinted>
  <dcterms:created xsi:type="dcterms:W3CDTF">2023-09-19T19:38:00Z</dcterms:created>
  <dcterms:modified xsi:type="dcterms:W3CDTF">2026-02-16T20:33:00Z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