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6E4CBC" w:rsidRPr="00845BCB" w:rsidP="00846053" w14:paraId="4F87294A" w14:textId="77777777">
      <w:pPr>
        <w:pStyle w:val="SectionHeading"/>
        <w:numPr>
          <w:ilvl w:val="0"/>
          <w:numId w:val="25"/>
        </w:numPr>
        <w:spacing w:before="240" w:after="240" w:line="276" w:lineRule="auto"/>
        <w:ind w:left="720" w:hanging="720"/>
        <w:rPr>
          <w:color w:val="365F91" w:themeColor="accent1" w:themeShade="BF"/>
          <w:sz w:val="28"/>
          <w:szCs w:val="28"/>
        </w:rPr>
        <w:sectPr w:rsidSect="00641F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orient="portrait" w:code="1"/>
          <w:pgMar w:top="1440" w:right="1440" w:bottom="1440" w:left="1440" w:header="720" w:footer="720" w:gutter="0"/>
          <w:cols w:space="720"/>
          <w:titlePg/>
        </w:sectPr>
      </w:pPr>
      <w:r w:rsidRPr="00845BCB">
        <w:rPr>
          <w:color w:val="365F91" w:themeColor="accent1" w:themeShade="BF"/>
          <w:sz w:val="28"/>
          <w:szCs w:val="28"/>
        </w:rPr>
        <w:t>Scope</w:t>
      </w:r>
    </w:p>
    <w:p w:rsidR="00D004EC" w:rsidP="004F0068" w14:paraId="338D5394" w14:textId="35F54C72">
      <w:pPr>
        <w:spacing w:line="276" w:lineRule="auto"/>
        <w:ind w:left="720"/>
        <w:rPr>
          <w:rFonts w:ascii="Arial" w:hAnsi="Arial" w:eastAsiaTheme="minorEastAsia" w:cs="Arial"/>
          <w:sz w:val="20"/>
        </w:rPr>
      </w:pPr>
      <w:r w:rsidRPr="00524F40">
        <w:rPr>
          <w:rFonts w:ascii="Arial" w:hAnsi="Arial" w:eastAsiaTheme="minorEastAsia" w:cs="Arial"/>
          <w:sz w:val="20"/>
        </w:rPr>
        <w:t xml:space="preserve">Performed by the Yale Center for Clinical Investigation (YCCI) Clinical Research Billing Quality Assurance (CRB QA) Unit, this standard operating procedure (SOP) assesses and applies a risk score to clinical research studies within </w:t>
      </w:r>
      <w:r w:rsidRPr="00B434F6">
        <w:rPr>
          <w:rFonts w:ascii="Arial" w:hAnsi="Arial" w:eastAsiaTheme="minorEastAsia" w:cs="Arial"/>
          <w:sz w:val="20"/>
        </w:rPr>
        <w:t>Yale School of Medicine (YSM), Yale School of Public Health (YSPH) or Yale School of Nursing (YSN)</w:t>
      </w:r>
      <w:r>
        <w:rPr>
          <w:rFonts w:ascii="Arial" w:hAnsi="Arial" w:eastAsiaTheme="minorEastAsia" w:cs="Arial"/>
          <w:sz w:val="20"/>
        </w:rPr>
        <w:t xml:space="preserve"> </w:t>
      </w:r>
      <w:r w:rsidRPr="00524F40">
        <w:rPr>
          <w:rFonts w:ascii="Arial" w:hAnsi="Arial" w:eastAsiaTheme="minorEastAsia" w:cs="Arial"/>
          <w:sz w:val="20"/>
        </w:rPr>
        <w:t xml:space="preserve"> that have been identified by the YCCI Billing Review Unit or in the OnCore Report “Billing and Compliance Assessment” as being a Medicare Qualifying Trial (MQT).</w:t>
      </w:r>
    </w:p>
    <w:p w:rsidR="00D004EC" w:rsidRPr="00845BCB" w:rsidP="00D004EC" w14:paraId="7086170E" w14:textId="29714872">
      <w:pPr>
        <w:pStyle w:val="SectionHeading"/>
        <w:numPr>
          <w:ilvl w:val="0"/>
          <w:numId w:val="25"/>
        </w:numPr>
        <w:spacing w:before="24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  <w:sectPr w:rsidSect="00641FF8">
          <w:footerReference w:type="default" r:id="rId14"/>
          <w:headerReference w:type="first" r:id="rId15"/>
          <w:footerReference w:type="first" r:id="rId16"/>
          <w:type w:val="continuous"/>
          <w:pgSz w:w="12240" w:h="15840" w:orient="portrait" w:code="1"/>
          <w:pgMar w:top="1440" w:right="1440" w:bottom="1440" w:left="1440" w:header="720" w:footer="720" w:gutter="0"/>
          <w:cols w:space="720"/>
          <w:titlePg/>
        </w:sectPr>
      </w:pPr>
      <w:r w:rsidRPr="00845BCB">
        <w:rPr>
          <w:color w:val="365F91" w:themeColor="accent1" w:themeShade="BF"/>
          <w:sz w:val="28"/>
          <w:szCs w:val="28"/>
        </w:rPr>
        <w:t>Purpose</w:t>
      </w:r>
    </w:p>
    <w:p w:rsidR="00D004EC" w:rsidRPr="00D004EC" w:rsidP="00D004EC" w14:paraId="6766DF01" w14:textId="5C7C7198">
      <w:pPr>
        <w:pStyle w:val="SectionHeading"/>
        <w:spacing w:after="240" w:line="276" w:lineRule="auto"/>
        <w:ind w:left="720"/>
        <w:rPr>
          <w:b w:val="0"/>
          <w:bCs/>
          <w:sz w:val="20"/>
        </w:rPr>
      </w:pPr>
      <w:r w:rsidRPr="001D18E8">
        <w:rPr>
          <w:b w:val="0"/>
          <w:bCs/>
          <w:sz w:val="20"/>
        </w:rPr>
        <w:t>The purpose of this policy is to establish a sound practice for the completion of clinical research billing risk assessments for clinical trials that have been entered in OnCore and conducted within YSM, YSPH or YSN.</w:t>
      </w:r>
    </w:p>
    <w:p w:rsidR="00B92045" w:rsidRPr="00845BCB" w:rsidP="001D18E8" w14:paraId="47C32BC3" w14:textId="77777777">
      <w:pPr>
        <w:pStyle w:val="SectionHeading"/>
        <w:spacing w:after="240" w:line="276" w:lineRule="auto"/>
        <w:ind w:left="720"/>
        <w:rPr>
          <w:b w:val="0"/>
          <w:bCs/>
          <w:color w:val="365F91" w:themeColor="accent1" w:themeShade="BF"/>
          <w:sz w:val="28"/>
          <w:szCs w:val="28"/>
        </w:rPr>
      </w:pPr>
    </w:p>
    <w:p w:rsidR="00B92045" w:rsidRPr="00845BCB" w:rsidP="00B92045" w14:paraId="3537367C" w14:textId="77777777">
      <w:pPr>
        <w:pStyle w:val="SectionHeading"/>
        <w:numPr>
          <w:ilvl w:val="0"/>
          <w:numId w:val="25"/>
        </w:numPr>
        <w:spacing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845BCB">
        <w:rPr>
          <w:color w:val="365F91" w:themeColor="accent1" w:themeShade="BF"/>
          <w:sz w:val="28"/>
          <w:szCs w:val="28"/>
        </w:rPr>
        <w:t>Definitions and Abbreviations</w:t>
      </w:r>
    </w:p>
    <w:p w:rsidR="00B92045" w:rsidRPr="008E13FE" w:rsidP="00FF254C" w14:paraId="1F9AB8CA" w14:textId="4E036516">
      <w:pPr>
        <w:spacing w:before="120" w:after="120" w:line="276" w:lineRule="auto"/>
        <w:ind w:left="720"/>
        <w:rPr>
          <w:rFonts w:ascii="Arial" w:hAnsi="Arial" w:cs="Arial"/>
          <w:b/>
          <w:bCs/>
          <w:sz w:val="20"/>
        </w:rPr>
      </w:pPr>
      <w:r w:rsidRPr="00E057D5">
        <w:rPr>
          <w:rFonts w:ascii="Arial" w:hAnsi="Arial" w:cs="Arial"/>
          <w:b/>
          <w:bCs/>
          <w:sz w:val="20"/>
        </w:rPr>
        <w:t>Billing Compliance Assessment</w:t>
      </w:r>
      <w:r>
        <w:rPr>
          <w:rFonts w:ascii="Arial" w:hAnsi="Arial" w:cs="Arial"/>
          <w:b/>
          <w:bCs/>
          <w:sz w:val="20"/>
        </w:rPr>
        <w:t xml:space="preserve"> - </w:t>
      </w:r>
      <w:r>
        <w:rPr>
          <w:rFonts w:ascii="Arial" w:hAnsi="Arial" w:cs="Arial"/>
          <w:sz w:val="20"/>
        </w:rPr>
        <w:t>a</w:t>
      </w:r>
      <w:r w:rsidRPr="00E057D5">
        <w:rPr>
          <w:rFonts w:ascii="Arial" w:hAnsi="Arial" w:cs="Arial"/>
          <w:sz w:val="20"/>
        </w:rPr>
        <w:t xml:space="preserve"> weekly report run from OnCore to identify new research studies entered in OnCore where a Clinical Billing Risk Assessment has not yet been completed.</w:t>
      </w:r>
    </w:p>
    <w:p w:rsidR="00B92045" w:rsidRPr="008E13FE" w:rsidP="00FF254C" w14:paraId="68645AD0" w14:textId="79386506">
      <w:pPr>
        <w:spacing w:before="120" w:after="120" w:line="276" w:lineRule="auto"/>
        <w:ind w:left="720"/>
        <w:rPr>
          <w:rFonts w:ascii="Arial" w:hAnsi="Arial" w:cs="Arial"/>
          <w:b/>
          <w:bCs/>
          <w:sz w:val="20"/>
        </w:rPr>
      </w:pPr>
      <w:r w:rsidRPr="00E057D5">
        <w:rPr>
          <w:rFonts w:ascii="Arial" w:hAnsi="Arial" w:cs="Arial"/>
          <w:b/>
          <w:bCs/>
          <w:sz w:val="20"/>
        </w:rPr>
        <w:t>Billing Review Unit</w:t>
      </w:r>
      <w:r>
        <w:rPr>
          <w:rFonts w:ascii="Arial" w:hAnsi="Arial" w:cs="Arial"/>
          <w:b/>
          <w:bCs/>
          <w:sz w:val="20"/>
        </w:rPr>
        <w:t xml:space="preserve"> - </w:t>
      </w:r>
      <w:r w:rsidRPr="00B92045">
        <w:rPr>
          <w:rFonts w:ascii="Arial" w:hAnsi="Arial" w:cs="Arial"/>
          <w:sz w:val="20"/>
        </w:rPr>
        <w:t xml:space="preserve">a </w:t>
      </w:r>
      <w:r w:rsidRPr="00E057D5">
        <w:rPr>
          <w:rFonts w:ascii="Arial" w:hAnsi="Arial" w:cs="Arial"/>
          <w:sz w:val="20"/>
        </w:rPr>
        <w:t>YCCI centralized charge matching unit that reviews any Professional Billing (PB) charges incurred for subjects who are enrolled in a study before bills/invoices are sent to either the sponsor, patient, or the appropriate insurer/third-party payor.</w:t>
      </w:r>
    </w:p>
    <w:p w:rsidR="00B92045" w:rsidRPr="008E13FE" w:rsidP="1F45584C" w14:paraId="0EC674BC" w14:textId="7D97B3FF">
      <w:pPr>
        <w:spacing w:before="120" w:after="120" w:line="276" w:lineRule="auto"/>
        <w:ind w:left="720"/>
        <w:rPr>
          <w:rFonts w:ascii="Arial" w:hAnsi="Arial" w:cs="Arial"/>
          <w:sz w:val="20"/>
          <w:szCs w:val="20"/>
        </w:rPr>
      </w:pPr>
      <w:r w:rsidRPr="1F45584C" w:rsidR="1F45584C">
        <w:rPr>
          <w:rFonts w:ascii="Arial" w:hAnsi="Arial" w:cs="Arial"/>
          <w:b/>
          <w:bCs/>
          <w:sz w:val="20"/>
          <w:szCs w:val="20"/>
        </w:rPr>
        <w:t>Clinical Trial</w:t>
      </w:r>
      <w:r w:rsidRPr="1F45584C" w:rsidR="1F45584C">
        <w:rPr>
          <w:rFonts w:ascii="Arial" w:hAnsi="Arial" w:cs="Arial"/>
          <w:sz w:val="20"/>
          <w:szCs w:val="20"/>
        </w:rPr>
        <w:t xml:space="preserve"> - Any interventional investigation in human participants intended to discover or verify the clinical, pharmacological and/or other pharmacodynamic effects of an investigational product(s); and/or to identify any adverse reactions to an investigational product(s); and/or to study absorption, distribution, metabolism and excretion of an investigational product(s) with the object of ascertaining its safety and/or efficacy.</w:t>
      </w:r>
    </w:p>
    <w:p w:rsidR="00B92045" w:rsidRPr="008E13FE" w:rsidP="00FF254C" w14:paraId="44C7C534" w14:textId="1F8D3B84">
      <w:pPr>
        <w:pStyle w:val="BodyText"/>
        <w:spacing w:before="120" w:after="120" w:line="276" w:lineRule="auto"/>
        <w:ind w:left="720" w:right="29"/>
        <w:rPr>
          <w:rFonts w:cs="Arial"/>
          <w:b/>
          <w:bCs/>
          <w:i/>
          <w:iCs/>
        </w:rPr>
      </w:pPr>
      <w:r w:rsidRPr="00E057D5">
        <w:rPr>
          <w:rFonts w:cs="Arial"/>
          <w:b/>
          <w:bCs/>
        </w:rPr>
        <w:t>Medicare Qualifying Trial</w:t>
      </w:r>
      <w:r>
        <w:rPr>
          <w:rFonts w:cs="Arial"/>
          <w:b/>
          <w:bCs/>
          <w:i/>
          <w:iCs/>
        </w:rPr>
        <w:t xml:space="preserve"> - </w:t>
      </w:r>
      <w:r>
        <w:rPr>
          <w:rFonts w:cs="Arial"/>
        </w:rPr>
        <w:t>a</w:t>
      </w:r>
      <w:r w:rsidRPr="00E057D5">
        <w:rPr>
          <w:rFonts w:cs="Arial"/>
        </w:rPr>
        <w:t xml:space="preserve"> process by which a clinical trial is assessed to determine if Medicare will pay for routine procedures and services completed during the clinical trial. </w:t>
      </w:r>
    </w:p>
    <w:p w:rsidR="00E057D5" w:rsidRPr="008E13FE" w:rsidP="00FF254C" w14:paraId="0CD80DCA" w14:textId="6DBFFE4E">
      <w:pPr>
        <w:pStyle w:val="BodyText"/>
        <w:spacing w:before="120" w:after="120" w:line="276" w:lineRule="auto"/>
        <w:ind w:left="720" w:right="29"/>
        <w:rPr>
          <w:rFonts w:cs="Arial"/>
          <w:b/>
          <w:bCs/>
          <w:i/>
          <w:iCs/>
          <w:color w:val="000000"/>
        </w:rPr>
      </w:pPr>
      <w:r w:rsidRPr="00E057D5">
        <w:rPr>
          <w:rFonts w:cs="Arial"/>
          <w:b/>
          <w:bCs/>
          <w:color w:val="000000"/>
        </w:rPr>
        <w:t>OnCore</w:t>
      </w:r>
      <w:r>
        <w:rPr>
          <w:rFonts w:cs="Arial"/>
          <w:b/>
          <w:bCs/>
          <w:i/>
          <w:iCs/>
          <w:color w:val="000000"/>
        </w:rPr>
        <w:t xml:space="preserve"> - </w:t>
      </w:r>
      <w:r w:rsidRPr="00E057D5">
        <w:rPr>
          <w:rFonts w:cs="Arial"/>
          <w:color w:val="000000"/>
        </w:rPr>
        <w:t>Yale</w:t>
      </w:r>
      <w:r w:rsidRPr="00E057D5">
        <w:rPr>
          <w:rFonts w:cs="Arial"/>
          <w:color w:val="000000"/>
          <w:spacing w:val="-5"/>
        </w:rPr>
        <w:t xml:space="preserve"> </w:t>
      </w:r>
      <w:r w:rsidRPr="00E057D5">
        <w:rPr>
          <w:rFonts w:cs="Arial"/>
          <w:color w:val="000000"/>
        </w:rPr>
        <w:t>School</w:t>
      </w:r>
      <w:r w:rsidRPr="00E057D5">
        <w:rPr>
          <w:rFonts w:cs="Arial"/>
          <w:color w:val="000000"/>
          <w:spacing w:val="-3"/>
        </w:rPr>
        <w:t xml:space="preserve"> </w:t>
      </w:r>
      <w:r w:rsidRPr="00E057D5">
        <w:rPr>
          <w:rFonts w:cs="Arial"/>
          <w:color w:val="000000"/>
        </w:rPr>
        <w:t>of</w:t>
      </w:r>
      <w:r w:rsidRPr="00E057D5">
        <w:rPr>
          <w:rFonts w:cs="Arial"/>
          <w:color w:val="000000"/>
          <w:spacing w:val="-5"/>
        </w:rPr>
        <w:t xml:space="preserve"> </w:t>
      </w:r>
      <w:r w:rsidRPr="00E057D5">
        <w:rPr>
          <w:rFonts w:cs="Arial"/>
          <w:color w:val="000000"/>
        </w:rPr>
        <w:t>Medicine’s</w:t>
      </w:r>
      <w:r w:rsidRPr="00E057D5">
        <w:rPr>
          <w:rFonts w:cs="Arial"/>
          <w:color w:val="000000"/>
          <w:spacing w:val="-6"/>
        </w:rPr>
        <w:t xml:space="preserve"> </w:t>
      </w:r>
      <w:r w:rsidRPr="00E057D5">
        <w:rPr>
          <w:rFonts w:cs="Arial"/>
          <w:color w:val="000000"/>
        </w:rPr>
        <w:t>Clinical</w:t>
      </w:r>
      <w:r w:rsidRPr="00E057D5">
        <w:rPr>
          <w:rFonts w:cs="Arial"/>
          <w:color w:val="000000"/>
          <w:spacing w:val="-3"/>
        </w:rPr>
        <w:t xml:space="preserve"> </w:t>
      </w:r>
      <w:r w:rsidRPr="00E057D5">
        <w:rPr>
          <w:rFonts w:cs="Arial"/>
          <w:color w:val="000000"/>
        </w:rPr>
        <w:t>Trial</w:t>
      </w:r>
      <w:r w:rsidRPr="00E057D5">
        <w:rPr>
          <w:rFonts w:cs="Arial"/>
          <w:color w:val="000000"/>
          <w:spacing w:val="-3"/>
        </w:rPr>
        <w:t xml:space="preserve"> </w:t>
      </w:r>
      <w:r w:rsidRPr="00E057D5">
        <w:rPr>
          <w:rFonts w:cs="Arial"/>
          <w:color w:val="000000"/>
        </w:rPr>
        <w:t>Management</w:t>
      </w:r>
      <w:r w:rsidRPr="00E057D5">
        <w:rPr>
          <w:rFonts w:cs="Arial"/>
          <w:color w:val="000000"/>
          <w:spacing w:val="-7"/>
        </w:rPr>
        <w:t xml:space="preserve"> </w:t>
      </w:r>
      <w:r w:rsidRPr="00E057D5">
        <w:rPr>
          <w:rFonts w:cs="Arial"/>
          <w:color w:val="000000"/>
          <w:spacing w:val="-2"/>
        </w:rPr>
        <w:t>System</w:t>
      </w:r>
    </w:p>
    <w:p w:rsidR="00E057D5" w:rsidRPr="0075361B" w:rsidP="00FF254C" w14:paraId="53B31482" w14:textId="53DCB738">
      <w:pPr>
        <w:pStyle w:val="BodyText"/>
        <w:spacing w:before="120" w:after="120" w:line="276" w:lineRule="auto"/>
        <w:ind w:left="720"/>
        <w:rPr>
          <w:rFonts w:cs="Arial"/>
          <w:b/>
          <w:i/>
        </w:rPr>
      </w:pPr>
      <w:r>
        <w:t>The terms “subject” and “participant” where applicable are interchangeable.</w:t>
      </w:r>
    </w:p>
    <w:p w:rsidR="00E057D5" w:rsidRPr="00845BCB" w:rsidP="00283E6D" w14:paraId="5CE8F275" w14:textId="04CEEFC0">
      <w:pPr>
        <w:pStyle w:val="SectionHeading"/>
        <w:numPr>
          <w:ilvl w:val="0"/>
          <w:numId w:val="25"/>
        </w:numPr>
        <w:spacing w:before="12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bookmarkStart w:id="0" w:name="_Toc425171621"/>
      <w:r w:rsidRPr="00845BCB">
        <w:rPr>
          <w:color w:val="365F91" w:themeColor="accent1" w:themeShade="BF"/>
          <w:sz w:val="28"/>
          <w:szCs w:val="28"/>
        </w:rPr>
        <w:t xml:space="preserve">Procedure </w:t>
      </w:r>
      <w:bookmarkEnd w:id="0"/>
    </w:p>
    <w:p w:rsidR="00677C7F" w:rsidRPr="00677C7F" w:rsidP="004F0068" w14:paraId="1DE2308C" w14:textId="0B8A214C">
      <w:pPr>
        <w:pStyle w:val="SectionHeading"/>
        <w:numPr>
          <w:ilvl w:val="1"/>
          <w:numId w:val="25"/>
        </w:numPr>
        <w:spacing w:before="120" w:line="276" w:lineRule="auto"/>
        <w:contextualSpacing w:val="0"/>
        <w:rPr>
          <w:sz w:val="20"/>
        </w:rPr>
      </w:pPr>
      <w:r w:rsidRPr="00283E6D">
        <w:rPr>
          <w:sz w:val="20"/>
        </w:rPr>
        <w:t>Risk Assessment</w:t>
      </w:r>
    </w:p>
    <w:p w:rsidR="00E057D5" w:rsidRPr="00E057D5" w:rsidP="00FF254C" w14:paraId="6FAA5542" w14:textId="2E89497C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 xml:space="preserve">Each clinical research trial entered in OnCore and conducted within YSM, YSPH, or YSN is assigned a Clinical Billing Risk Assessment total score that guides the </w:t>
      </w:r>
      <w:r w:rsidR="00AB472B">
        <w:rPr>
          <w:rFonts w:ascii="Arial" w:hAnsi="Arial" w:eastAsiaTheme="minorEastAsia" w:cs="Arial"/>
          <w:sz w:val="20"/>
        </w:rPr>
        <w:t>CRB QA</w:t>
      </w:r>
      <w:r w:rsidRPr="00E057D5">
        <w:rPr>
          <w:rFonts w:ascii="Arial" w:hAnsi="Arial" w:eastAsiaTheme="minorEastAsia" w:cs="Arial"/>
          <w:sz w:val="20"/>
        </w:rPr>
        <w:t xml:space="preserve"> workplan. </w:t>
      </w:r>
      <w:r w:rsidRPr="00E057D5">
        <w:rPr>
          <w:rFonts w:ascii="Arial" w:hAnsi="Arial" w:eastAsiaTheme="minorEastAsia" w:cs="Arial"/>
          <w:sz w:val="20"/>
        </w:rPr>
        <w:t xml:space="preserve">The Protocol Billing Compliance Assessment Score Sheet is completed by </w:t>
      </w:r>
      <w:r w:rsidR="00AB472B">
        <w:rPr>
          <w:rFonts w:ascii="Arial" w:hAnsi="Arial" w:eastAsiaTheme="minorEastAsia" w:cs="Arial"/>
          <w:sz w:val="20"/>
        </w:rPr>
        <w:t>CRB QA</w:t>
      </w:r>
      <w:r w:rsidRPr="00E057D5">
        <w:rPr>
          <w:rFonts w:ascii="Arial" w:hAnsi="Arial" w:eastAsiaTheme="minorEastAsia" w:cs="Arial"/>
          <w:sz w:val="20"/>
        </w:rPr>
        <w:t xml:space="preserve"> staff or designee and is recorded in OnCore.</w:t>
      </w:r>
    </w:p>
    <w:p w:rsidR="00E057D5" w:rsidRPr="00E057D5" w:rsidP="00FF254C" w14:paraId="7495AE3F" w14:textId="77777777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</w:p>
    <w:p w:rsidR="00E057D5" w:rsidRPr="00E057D5" w:rsidP="00FF254C" w14:paraId="2D4AAF08" w14:textId="22460449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  <w:r>
        <w:rPr>
          <w:rFonts w:ascii="Arial" w:hAnsi="Arial" w:eastAsiaTheme="minorEastAsia" w:cs="Arial"/>
          <w:sz w:val="20"/>
        </w:rPr>
        <w:t>CRB QA</w:t>
      </w:r>
      <w:r w:rsidRPr="00E057D5" w:rsidR="00004928">
        <w:rPr>
          <w:rFonts w:ascii="Arial" w:hAnsi="Arial" w:eastAsiaTheme="minorEastAsia" w:cs="Arial"/>
          <w:sz w:val="20"/>
        </w:rPr>
        <w:t xml:space="preserve"> Specialists or designee complete the Protocol Billing Compliance Assessment Score Sheet using the protocol, informed consent, or equivalent documents, uploaded into OnCore. </w:t>
      </w:r>
    </w:p>
    <w:p w:rsidR="00E057D5" w:rsidRPr="00E057D5" w:rsidP="00FF254C" w14:paraId="2529A165" w14:textId="77777777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</w:p>
    <w:p w:rsidR="00E057D5" w:rsidRPr="00E057D5" w:rsidP="00FF254C" w14:paraId="49217137" w14:textId="7936F4D4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 xml:space="preserve">Each week, the Billing Compliance Assessment report is distributed to the </w:t>
      </w:r>
      <w:r w:rsidR="00AB472B">
        <w:rPr>
          <w:rFonts w:ascii="Arial" w:hAnsi="Arial" w:eastAsiaTheme="minorEastAsia" w:cs="Arial"/>
          <w:sz w:val="20"/>
        </w:rPr>
        <w:t>CRB</w:t>
      </w:r>
      <w:r w:rsidRPr="00E057D5">
        <w:rPr>
          <w:rFonts w:ascii="Arial" w:hAnsi="Arial" w:eastAsiaTheme="minorEastAsia" w:cs="Arial"/>
          <w:sz w:val="20"/>
        </w:rPr>
        <w:t xml:space="preserve"> QA </w:t>
      </w:r>
      <w:r w:rsidR="00AB472B">
        <w:rPr>
          <w:rFonts w:ascii="Arial" w:hAnsi="Arial" w:eastAsiaTheme="minorEastAsia" w:cs="Arial"/>
          <w:sz w:val="20"/>
        </w:rPr>
        <w:t>team f</w:t>
      </w:r>
      <w:r w:rsidRPr="00E057D5">
        <w:rPr>
          <w:rFonts w:ascii="Arial" w:hAnsi="Arial" w:eastAsiaTheme="minorEastAsia" w:cs="Arial"/>
          <w:sz w:val="20"/>
        </w:rPr>
        <w:t xml:space="preserve">or review.   The report is sorted to filter out protocols that have previously had a Billing Compliance Assessment completed in OnCore.   Additionally, the YCCI Billing Review Unit will communicate new MQT studies by email to the </w:t>
      </w:r>
      <w:r w:rsidR="00AB472B">
        <w:rPr>
          <w:rFonts w:ascii="Arial" w:hAnsi="Arial" w:eastAsiaTheme="minorEastAsia" w:cs="Arial"/>
          <w:sz w:val="20"/>
        </w:rPr>
        <w:t>CRB QA team</w:t>
      </w:r>
      <w:r w:rsidRPr="00E057D5">
        <w:rPr>
          <w:rFonts w:ascii="Arial" w:hAnsi="Arial" w:eastAsiaTheme="minorEastAsia" w:cs="Arial"/>
          <w:sz w:val="20"/>
        </w:rPr>
        <w:t xml:space="preserve"> for a Billing Compliance Assessment.</w:t>
      </w:r>
    </w:p>
    <w:p w:rsidR="00E057D5" w:rsidRPr="00E057D5" w:rsidP="00FF254C" w14:paraId="2301166F" w14:textId="77777777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</w:p>
    <w:p w:rsidR="00E057D5" w:rsidRPr="00E057D5" w:rsidP="00FF254C" w14:paraId="7BC676CA" w14:textId="77777777">
      <w:pPr>
        <w:spacing w:after="120" w:line="276" w:lineRule="auto"/>
        <w:ind w:left="1080"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For any new studies identified, the Protocol Billing Compliance Assessment Score Sheet found on the Risk Assessment tab of the PC Console in OnCore is completed. Once complete, a total score is calculated based upon responses provided in the following categories:</w:t>
      </w:r>
    </w:p>
    <w:p w:rsidR="00E057D5" w:rsidRPr="00E057D5" w:rsidP="00FF254C" w14:paraId="07C814C1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Study Type</w:t>
      </w:r>
    </w:p>
    <w:p w:rsidR="00E057D5" w:rsidRPr="00E057D5" w:rsidP="00FF254C" w14:paraId="21D0DCD9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Intervention</w:t>
      </w:r>
    </w:p>
    <w:p w:rsidR="00E057D5" w:rsidRPr="00E057D5" w:rsidP="00FF254C" w14:paraId="64B5352A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Treatment Route</w:t>
      </w:r>
    </w:p>
    <w:p w:rsidR="00E057D5" w:rsidRPr="00E057D5" w:rsidP="00FF254C" w14:paraId="16C57F47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Phase</w:t>
      </w:r>
    </w:p>
    <w:p w:rsidR="00E057D5" w:rsidRPr="00E057D5" w:rsidP="00FF254C" w14:paraId="31B0734D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Target Accrual</w:t>
      </w:r>
    </w:p>
    <w:p w:rsidR="00E057D5" w:rsidRPr="00E057D5" w:rsidP="00FF254C" w14:paraId="594426C4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Billing Type</w:t>
      </w:r>
    </w:p>
    <w:p w:rsidR="00E057D5" w:rsidRPr="00E057D5" w:rsidP="00FF254C" w14:paraId="26900638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Number of Clinical Services</w:t>
      </w:r>
    </w:p>
    <w:p w:rsidR="00E057D5" w:rsidRPr="00E057D5" w:rsidP="00FF254C" w14:paraId="7E4B6416" w14:textId="77777777">
      <w:pPr>
        <w:widowControl w:val="0"/>
        <w:numPr>
          <w:ilvl w:val="0"/>
          <w:numId w:val="24"/>
        </w:numPr>
        <w:autoSpaceDE w:val="0"/>
        <w:autoSpaceDN w:val="0"/>
        <w:spacing w:line="276" w:lineRule="auto"/>
        <w:contextualSpacing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>Medicare Population</w:t>
      </w:r>
    </w:p>
    <w:p w:rsidR="00E057D5" w:rsidRPr="00E057D5" w:rsidP="00FF254C" w14:paraId="2D4BA6B7" w14:textId="77777777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</w:p>
    <w:p w:rsidR="00E057D5" w:rsidRPr="00E057D5" w:rsidP="00FF254C" w14:paraId="4A4784BC" w14:textId="77777777">
      <w:pPr>
        <w:spacing w:line="276" w:lineRule="auto"/>
        <w:ind w:left="1080"/>
        <w:rPr>
          <w:rFonts w:ascii="Arial" w:hAnsi="Arial" w:eastAsiaTheme="minorEastAsia" w:cs="Arial"/>
          <w:sz w:val="20"/>
        </w:rPr>
      </w:pPr>
      <w:r w:rsidRPr="00E057D5">
        <w:rPr>
          <w:rFonts w:ascii="Arial" w:hAnsi="Arial" w:eastAsiaTheme="minorEastAsia" w:cs="Arial"/>
          <w:sz w:val="20"/>
        </w:rPr>
        <w:t xml:space="preserve">Based upon the total score, the Billing Compliance Risk Level is defined as high, moderate or low institutional risk. </w:t>
      </w:r>
    </w:p>
    <w:p w:rsidR="00E057D5" w:rsidRPr="00E057D5" w:rsidP="00FF254C" w14:paraId="34BBFA5D" w14:textId="77777777">
      <w:pPr>
        <w:spacing w:line="276" w:lineRule="auto"/>
        <w:rPr>
          <w:rFonts w:ascii="Arial" w:hAnsi="Arial" w:eastAsiaTheme="minorEastAsia" w:cs="Arial"/>
          <w:sz w:val="20"/>
        </w:rPr>
      </w:pPr>
    </w:p>
    <w:p w:rsidR="00677C7F" w:rsidRPr="00677C7F" w:rsidP="00FF254C" w14:paraId="1DD6962A" w14:textId="18EFBD37">
      <w:pPr>
        <w:pStyle w:val="BodyText"/>
        <w:numPr>
          <w:ilvl w:val="1"/>
          <w:numId w:val="25"/>
        </w:numPr>
        <w:spacing w:before="0" w:after="120" w:line="276" w:lineRule="auto"/>
        <w:rPr>
          <w:rFonts w:cs="Arial"/>
          <w:b/>
          <w:iCs/>
        </w:rPr>
      </w:pPr>
      <w:r w:rsidRPr="00283E6D">
        <w:rPr>
          <w:rFonts w:cs="Arial"/>
          <w:b/>
          <w:iCs/>
        </w:rPr>
        <w:t>Training</w:t>
      </w:r>
    </w:p>
    <w:p w:rsidR="00E057D5" w:rsidRPr="00E057D5" w:rsidP="00FF254C" w14:paraId="120266E5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rPr>
          <w:rFonts w:ascii="Arial" w:hAnsi="Arial" w:cs="Arial"/>
          <w:sz w:val="20"/>
        </w:rPr>
      </w:pPr>
      <w:r w:rsidRPr="00E057D5">
        <w:rPr>
          <w:rFonts w:ascii="Arial" w:hAnsi="Arial" w:cs="Arial"/>
          <w:sz w:val="20"/>
        </w:rPr>
        <w:t xml:space="preserve">All responsible personnel listed within this SOP will receive the level of training appropriate to their role and level of responsibility. </w:t>
      </w:r>
    </w:p>
    <w:p w:rsidR="00E522BD" w:rsidP="00FF254C" w14:paraId="7CA251E6" w14:textId="77777777">
      <w:pPr>
        <w:pStyle w:val="BodyText"/>
        <w:spacing w:before="5" w:line="276" w:lineRule="auto"/>
        <w:rPr>
          <w:rFonts w:cs="Arial"/>
        </w:rPr>
      </w:pPr>
    </w:p>
    <w:p w:rsidR="00E522BD" w:rsidRPr="00845BCB" w:rsidP="00FF254C" w14:paraId="55740908" w14:textId="77777777">
      <w:pPr>
        <w:pStyle w:val="SectionHeading"/>
        <w:numPr>
          <w:ilvl w:val="0"/>
          <w:numId w:val="25"/>
        </w:numPr>
        <w:spacing w:before="12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845BCB">
        <w:rPr>
          <w:color w:val="365F91" w:themeColor="accent1" w:themeShade="BF"/>
          <w:sz w:val="28"/>
          <w:szCs w:val="28"/>
        </w:rPr>
        <w:t>Roles and Responsibilities</w:t>
      </w:r>
    </w:p>
    <w:p w:rsidR="00E522BD" w:rsidP="00FF254C" w14:paraId="3AA2851C" w14:textId="07461C49">
      <w:pPr>
        <w:pStyle w:val="ListParagraph"/>
        <w:numPr>
          <w:ilvl w:val="0"/>
          <w:numId w:val="32"/>
        </w:numPr>
        <w:spacing w:line="276" w:lineRule="auto"/>
        <w:ind w:left="1526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Assistant Director, Clinical Research Billing Quality Assurance</w:t>
      </w:r>
    </w:p>
    <w:p w:rsidR="005C5F9D" w:rsidP="00FF254C" w14:paraId="51E1393D" w14:textId="0A72F4FB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ind w:left="153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Quality </w:t>
      </w:r>
      <w:r>
        <w:rPr>
          <w:rFonts w:cs="Arial"/>
          <w:color w:val="000000"/>
        </w:rPr>
        <w:t>Assurance Specialist</w:t>
      </w:r>
    </w:p>
    <w:p w:rsidR="005C5F9D" w:rsidP="00FF254C" w14:paraId="3F08EA05" w14:textId="4ABE53BF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ind w:left="153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Research Billing Compliance Analyst</w:t>
      </w:r>
    </w:p>
    <w:p w:rsidR="00FF254C" w:rsidRPr="00845BCB" w:rsidP="00FF254C" w14:paraId="4FD342D3" w14:textId="13994105">
      <w:pPr>
        <w:pStyle w:val="ListParagraph"/>
        <w:numPr>
          <w:ilvl w:val="0"/>
          <w:numId w:val="32"/>
        </w:numPr>
        <w:spacing w:before="100" w:beforeAutospacing="1" w:after="100" w:afterAutospacing="1" w:line="276" w:lineRule="auto"/>
        <w:ind w:left="153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Research Charge Analyst</w:t>
      </w:r>
    </w:p>
    <w:p w:rsidR="00E522BD" w:rsidRPr="00845BCB" w:rsidP="00FF254C" w14:paraId="07D96508" w14:textId="77777777">
      <w:pPr>
        <w:pStyle w:val="SectionHeading"/>
        <w:keepNext w:val="0"/>
        <w:numPr>
          <w:ilvl w:val="0"/>
          <w:numId w:val="25"/>
        </w:numPr>
        <w:spacing w:before="12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845BCB">
        <w:rPr>
          <w:color w:val="365F91" w:themeColor="accent1" w:themeShade="BF"/>
          <w:sz w:val="28"/>
          <w:szCs w:val="28"/>
        </w:rPr>
        <w:t xml:space="preserve">Contact Information </w:t>
      </w:r>
    </w:p>
    <w:p w:rsidR="00AC6E3D" w:rsidP="00FF254C" w14:paraId="65F892F9" w14:textId="3FDCE50C">
      <w:pPr>
        <w:pStyle w:val="BodyText"/>
        <w:spacing w:before="120" w:after="240" w:line="276" w:lineRule="auto"/>
        <w:ind w:left="720"/>
        <w:rPr>
          <w:rStyle w:val="Hyperlink"/>
        </w:rPr>
      </w:pPr>
      <w:r>
        <w:t xml:space="preserve">Any exceptions or questions pertaining to this procedure must be presented to </w:t>
      </w:r>
      <w:hyperlink r:id="rId17" w:history="1">
        <w:r w:rsidRPr="00117703">
          <w:rPr>
            <w:rStyle w:val="Hyperlink"/>
          </w:rPr>
          <w:t>ycci.sop@yale.edu</w:t>
        </w:r>
      </w:hyperlink>
      <w:r>
        <w:rPr>
          <w:rStyle w:val="Hyperlink"/>
        </w:rPr>
        <w:t>.</w:t>
      </w:r>
    </w:p>
    <w:p w:rsidR="00E522BD" w:rsidRPr="00845BCB" w:rsidP="00845BCB" w14:paraId="068CD9BF" w14:textId="77777777">
      <w:pPr>
        <w:pStyle w:val="SectionHeading"/>
        <w:numPr>
          <w:ilvl w:val="0"/>
          <w:numId w:val="25"/>
        </w:numPr>
        <w:spacing w:before="12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845BCB">
        <w:rPr>
          <w:color w:val="365F91" w:themeColor="accent1" w:themeShade="BF"/>
          <w:sz w:val="28"/>
          <w:szCs w:val="28"/>
        </w:rPr>
        <w:t>Related Information</w:t>
      </w:r>
    </w:p>
    <w:p w:rsidR="00E522BD" w:rsidP="00FF254C" w14:paraId="648A33A0" w14:textId="77777777">
      <w:pPr>
        <w:pStyle w:val="SectionHeading"/>
        <w:keepNext w:val="0"/>
        <w:spacing w:before="120" w:line="276" w:lineRule="auto"/>
        <w:ind w:left="720"/>
        <w:contextualSpacing w:val="0"/>
        <w:rPr>
          <w:b w:val="0"/>
          <w:bCs/>
          <w:sz w:val="20"/>
          <w:szCs w:val="16"/>
        </w:rPr>
      </w:pPr>
      <w:r>
        <w:rPr>
          <w:b w:val="0"/>
          <w:bCs/>
          <w:sz w:val="20"/>
          <w:szCs w:val="16"/>
        </w:rPr>
        <w:t>This section identifies applicable regulations, guidance’s, and policies related to this procedure.</w:t>
      </w:r>
    </w:p>
    <w:p w:rsidR="0075361B" w:rsidP="00FF254C" w14:paraId="2E71595D" w14:textId="1A5A89C8">
      <w:pPr>
        <w:pStyle w:val="BodyText"/>
        <w:numPr>
          <w:ilvl w:val="0"/>
          <w:numId w:val="31"/>
        </w:numPr>
        <w:spacing w:before="57" w:line="276" w:lineRule="auto"/>
        <w:ind w:right="338"/>
        <w:rPr>
          <w:rFonts w:cs="Arial"/>
        </w:rPr>
      </w:pPr>
      <w:r w:rsidRPr="1F45584C" w:rsidR="1F45584C">
        <w:rPr>
          <w:rFonts w:cs="Arial"/>
        </w:rPr>
        <w:t>Clinical Billing Risk Assessment Score Sheet—0406-Procedure</w:t>
      </w:r>
    </w:p>
    <w:p w:rsidR="00524F40" w:rsidRPr="00FF254C" w:rsidP="00FF254C" w14:paraId="3B75EAB2" w14:textId="11F7D142">
      <w:pPr>
        <w:pStyle w:val="BodyText"/>
        <w:numPr>
          <w:ilvl w:val="0"/>
          <w:numId w:val="31"/>
        </w:numPr>
        <w:spacing w:before="57" w:line="276" w:lineRule="auto"/>
        <w:ind w:right="338"/>
        <w:rPr>
          <w:rFonts w:cs="Arial"/>
        </w:rPr>
      </w:pPr>
      <w:hyperlink r:id="rId18" w:history="1">
        <w:r w:rsidRPr="0075361B">
          <w:rPr>
            <w:rStyle w:val="Hyperlink"/>
            <w:rFonts w:cs="Arial"/>
          </w:rPr>
          <w:t>National Coverage Determination, Routine Costs in Clinical Trials, Section 310.1</w:t>
        </w:r>
      </w:hyperlink>
    </w:p>
    <w:p w:rsidR="00E522BD" w:rsidRPr="00845BCB" w:rsidP="00FF254C" w14:paraId="3059BBF1" w14:textId="77777777">
      <w:pPr>
        <w:pStyle w:val="SectionHeading"/>
        <w:keepNext w:val="0"/>
        <w:numPr>
          <w:ilvl w:val="0"/>
          <w:numId w:val="25"/>
        </w:numPr>
        <w:spacing w:before="24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845BCB">
        <w:rPr>
          <w:color w:val="365F91" w:themeColor="accent1" w:themeShade="BF"/>
          <w:sz w:val="28"/>
          <w:szCs w:val="28"/>
        </w:rPr>
        <w:t>Reference Materials</w:t>
      </w:r>
    </w:p>
    <w:p w:rsidR="00E522BD" w:rsidP="00FF254C" w14:paraId="7D8BDD65" w14:textId="77777777">
      <w:pPr>
        <w:pStyle w:val="SectionHeading"/>
        <w:keepNext w:val="0"/>
        <w:spacing w:before="120" w:after="240" w:line="276" w:lineRule="auto"/>
        <w:ind w:left="720"/>
        <w:contextualSpacing w:val="0"/>
        <w:rPr>
          <w:rFonts w:cs="Arial"/>
          <w:b w:val="0"/>
          <w:bCs/>
          <w:sz w:val="20"/>
        </w:rPr>
      </w:pPr>
      <w:r w:rsidRPr="00011FCA">
        <w:rPr>
          <w:rFonts w:cs="Arial"/>
          <w:b w:val="0"/>
          <w:bCs/>
          <w:sz w:val="20"/>
        </w:rPr>
        <w:t xml:space="preserve">Reference materials are </w:t>
      </w:r>
      <w:r>
        <w:rPr>
          <w:rFonts w:cs="Arial"/>
          <w:b w:val="0"/>
          <w:bCs/>
          <w:sz w:val="20"/>
        </w:rPr>
        <w:t xml:space="preserve">located </w:t>
      </w:r>
      <w:r w:rsidRPr="00011FCA">
        <w:rPr>
          <w:rFonts w:cs="Arial"/>
          <w:b w:val="0"/>
          <w:bCs/>
          <w:sz w:val="20"/>
        </w:rPr>
        <w:t>in each functional area’s working directory.</w:t>
      </w:r>
    </w:p>
    <w:p w:rsidR="00524F40" w:rsidRPr="00524F40" w:rsidP="00FF254C" w14:paraId="7184D7FD" w14:textId="12C5C506">
      <w:pPr>
        <w:pStyle w:val="BodyText"/>
        <w:numPr>
          <w:ilvl w:val="0"/>
          <w:numId w:val="31"/>
        </w:numPr>
        <w:spacing w:before="57" w:line="276" w:lineRule="auto"/>
        <w:ind w:right="338"/>
      </w:pPr>
      <w:hyperlink r:id="rId19" w:history="1">
        <w:r>
          <w:rPr>
            <w:rStyle w:val="Hyperlink"/>
          </w:rPr>
          <w:t>Yale School of Medicine Policy, "Research Studies with Billable Clinical Services"</w:t>
        </w:r>
      </w:hyperlink>
    </w:p>
    <w:p w:rsidR="00E522BD" w:rsidRPr="00845BCB" w:rsidP="00FF254C" w14:paraId="595EA2A9" w14:textId="06BBE675">
      <w:pPr>
        <w:pStyle w:val="SectionHeading"/>
        <w:keepNext w:val="0"/>
        <w:numPr>
          <w:ilvl w:val="0"/>
          <w:numId w:val="25"/>
        </w:numPr>
        <w:spacing w:before="240" w:after="240" w:line="276" w:lineRule="auto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845BCB">
        <w:rPr>
          <w:color w:val="365F91" w:themeColor="accent1" w:themeShade="BF"/>
          <w:sz w:val="28"/>
          <w:szCs w:val="28"/>
        </w:rPr>
        <w:t>Version History</w:t>
      </w:r>
    </w:p>
    <w:p w:rsidR="00E522BD" w:rsidP="00FF254C" w14:paraId="1E93030A" w14:textId="62545991">
      <w:pPr>
        <w:pStyle w:val="BodyText"/>
        <w:numPr>
          <w:ilvl w:val="0"/>
          <w:numId w:val="27"/>
        </w:numPr>
        <w:spacing w:before="0" w:after="120"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>11/</w:t>
      </w:r>
      <w:r w:rsidR="000F510A">
        <w:rPr>
          <w:rFonts w:cs="Arial"/>
          <w:color w:val="000000"/>
        </w:rPr>
        <w:t>20</w:t>
      </w:r>
      <w:r w:rsidRPr="000F510A">
        <w:rPr>
          <w:rFonts w:cs="Arial"/>
          <w:color w:val="000000"/>
        </w:rPr>
        <w:t>/2023: New document (no prior history)</w:t>
      </w:r>
    </w:p>
    <w:p w:rsidR="00845BCB" w:rsidP="00845BCB" w14:paraId="462F5A06" w14:textId="77777777">
      <w:pPr>
        <w:pStyle w:val="BodyText"/>
        <w:spacing w:before="0" w:after="120" w:line="276" w:lineRule="auto"/>
        <w:rPr>
          <w:rFonts w:cs="Arial"/>
          <w:color w:val="000000"/>
        </w:rPr>
      </w:pPr>
    </w:p>
    <w:p w:rsidR="00845BCB" w:rsidP="00845BCB" w14:paraId="5DB9A6BF" w14:textId="77777777">
      <w:pPr>
        <w:rPr>
          <w:rFonts w:ascii="Arial" w:hAnsi="Arial" w:cs="Arial"/>
          <w:sz w:val="20"/>
        </w:rPr>
      </w:pPr>
      <w:r w:rsidRPr="00E92232">
        <w:rPr>
          <w:rFonts w:ascii="Arial" w:hAnsi="Arial" w:cs="Arial"/>
          <w:b/>
          <w:bCs/>
          <w:sz w:val="20"/>
        </w:rPr>
        <w:t xml:space="preserve">Responsible Official: </w:t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sz w:val="20"/>
        </w:rPr>
        <w:t>Co-Directors</w:t>
      </w:r>
    </w:p>
    <w:p w:rsidR="00845BCB" w:rsidRPr="00E92232" w:rsidP="00845BCB" w14:paraId="088C9B6B" w14:textId="77777777">
      <w:pPr>
        <w:rPr>
          <w:rFonts w:ascii="Arial" w:hAnsi="Arial" w:cs="Arial"/>
          <w:b/>
          <w:bCs/>
          <w:sz w:val="20"/>
        </w:rPr>
      </w:pPr>
      <w:r w:rsidRPr="00E92232">
        <w:rPr>
          <w:rFonts w:ascii="Arial" w:hAnsi="Arial" w:cs="Arial"/>
          <w:b/>
          <w:bCs/>
          <w:sz w:val="20"/>
        </w:rPr>
        <w:t>Document Administrator:</w:t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sz w:val="20"/>
        </w:rPr>
        <w:fldChar w:fldCharType="begin"/>
      </w:r>
      <w:r w:rsidRPr="00E92232">
        <w:rPr>
          <w:rFonts w:ascii="Arial" w:hAnsi="Arial" w:cs="Arial"/>
          <w:sz w:val="20"/>
        </w:rPr>
        <w:instrText xml:space="preserve"> DOCVARIABLE </w:instrText>
      </w:r>
      <w:r w:rsidRPr="00E92232">
        <w:rPr>
          <w:rFonts w:ascii="Arial" w:hAnsi="Arial" w:cs="Arial"/>
          <w:sz w:val="20"/>
        </w:rPr>
        <w:instrText>PO_Both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instrText>\*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instrText>MERGEFORMAT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fldChar w:fldCharType="separate"/>
      </w:r>
      <w:r w:rsidRPr="00E92232">
        <w:rPr>
          <w:rFonts w:ascii="Arial" w:hAnsi="Arial" w:cs="Arial"/>
          <w:sz w:val="20"/>
        </w:rPr>
        <w:t>Audrey King</w:t>
      </w:r>
      <w:r w:rsidRPr="00E92232">
        <w:rPr>
          <w:rFonts w:ascii="Arial" w:hAnsi="Arial" w:cs="Arial"/>
          <w:sz w:val="20"/>
        </w:rPr>
        <w:fldChar w:fldCharType="end"/>
      </w:r>
    </w:p>
    <w:p w:rsidR="00845BCB" w:rsidRPr="00E92232" w:rsidP="00845BCB" w14:paraId="1533201B" w14:textId="77777777">
      <w:pPr>
        <w:rPr>
          <w:rFonts w:ascii="Arial" w:hAnsi="Arial" w:cs="Arial"/>
          <w:sz w:val="20"/>
        </w:rPr>
      </w:pPr>
      <w:r w:rsidRPr="00E92232">
        <w:rPr>
          <w:rFonts w:ascii="Arial" w:hAnsi="Arial" w:cs="Arial"/>
          <w:b/>
          <w:bCs/>
          <w:sz w:val="20"/>
        </w:rPr>
        <w:t xml:space="preserve">Date of Origin: </w:t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sz w:val="20"/>
        </w:rPr>
        <w:fldChar w:fldCharType="begin"/>
      </w:r>
      <w:r w:rsidRPr="00E92232">
        <w:rPr>
          <w:rFonts w:ascii="Arial" w:hAnsi="Arial" w:cs="Arial"/>
          <w:sz w:val="20"/>
        </w:rPr>
        <w:instrText xml:space="preserve"> DOCVARIABLE </w:instrText>
      </w:r>
      <w:r w:rsidRPr="00E92232">
        <w:rPr>
          <w:rFonts w:ascii="Arial" w:hAnsi="Arial" w:cs="Arial"/>
          <w:sz w:val="20"/>
        </w:rPr>
        <w:instrText>Original_Creation_Date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instrText>\*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instrText>MERGEFORMAT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fldChar w:fldCharType="separate"/>
      </w:r>
      <w:r w:rsidRPr="00E92232">
        <w:rPr>
          <w:rFonts w:ascii="Arial" w:hAnsi="Arial" w:cs="Arial"/>
          <w:sz w:val="20"/>
        </w:rPr>
        <w:t>12/06/2023</w:t>
      </w:r>
      <w:r w:rsidRPr="00E92232">
        <w:rPr>
          <w:rFonts w:ascii="Arial" w:hAnsi="Arial" w:cs="Arial"/>
          <w:sz w:val="20"/>
        </w:rPr>
        <w:fldChar w:fldCharType="end"/>
      </w:r>
    </w:p>
    <w:p w:rsidR="00845BCB" w:rsidRPr="00E92232" w:rsidP="00845BCB" w14:paraId="6563632E" w14:textId="77777777">
      <w:pPr>
        <w:rPr>
          <w:rFonts w:ascii="Arial" w:hAnsi="Arial" w:cs="Arial"/>
          <w:b/>
          <w:bCs/>
          <w:sz w:val="20"/>
        </w:rPr>
      </w:pPr>
      <w:r w:rsidRPr="00E92232">
        <w:rPr>
          <w:rFonts w:ascii="Arial" w:hAnsi="Arial" w:cs="Arial"/>
          <w:b/>
          <w:bCs/>
          <w:sz w:val="20"/>
        </w:rPr>
        <w:t>Approval Date</w:t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b/>
          <w:bCs/>
          <w:sz w:val="20"/>
        </w:rPr>
        <w:tab/>
      </w:r>
      <w:r w:rsidRPr="00E92232">
        <w:rPr>
          <w:rFonts w:ascii="Arial" w:hAnsi="Arial" w:cs="Arial"/>
          <w:sz w:val="20"/>
        </w:rPr>
        <w:fldChar w:fldCharType="begin"/>
      </w:r>
      <w:r w:rsidRPr="00E92232">
        <w:rPr>
          <w:rFonts w:ascii="Arial" w:hAnsi="Arial" w:cs="Arial"/>
          <w:sz w:val="20"/>
        </w:rPr>
        <w:instrText xml:space="preserve"> DOCVARIABLE </w:instrText>
      </w:r>
      <w:r w:rsidRPr="00E92232">
        <w:rPr>
          <w:rFonts w:ascii="Arial" w:hAnsi="Arial" w:cs="Arial"/>
          <w:sz w:val="20"/>
        </w:rPr>
        <w:instrText>Date_Approved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instrText>\*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instrText>MERGEFORMAT</w:instrText>
      </w:r>
      <w:r w:rsidRPr="00E92232">
        <w:rPr>
          <w:rFonts w:ascii="Arial" w:hAnsi="Arial" w:cs="Arial"/>
          <w:sz w:val="20"/>
        </w:rPr>
        <w:instrText xml:space="preserve"> </w:instrText>
      </w:r>
      <w:r w:rsidRPr="00E92232">
        <w:rPr>
          <w:rFonts w:ascii="Arial" w:hAnsi="Arial" w:cs="Arial"/>
          <w:sz w:val="20"/>
        </w:rPr>
        <w:fldChar w:fldCharType="separate"/>
      </w:r>
      <w:r w:rsidRPr="00E92232">
        <w:rPr>
          <w:rFonts w:ascii="Arial" w:hAnsi="Arial" w:cs="Arial"/>
          <w:sz w:val="20"/>
        </w:rPr>
        <w:t>12/06/2023</w:t>
      </w:r>
      <w:r w:rsidRPr="00E92232">
        <w:rPr>
          <w:rFonts w:ascii="Arial" w:hAnsi="Arial" w:cs="Arial"/>
          <w:sz w:val="20"/>
        </w:rPr>
        <w:fldChar w:fldCharType="end"/>
      </w:r>
    </w:p>
    <w:p w:rsidR="00845BCB" w:rsidRPr="00E92232" w:rsidP="00845BCB" w14:paraId="65D07104" w14:textId="77777777">
      <w:pPr>
        <w:rPr>
          <w:rFonts w:ascii="Arial" w:hAnsi="Arial" w:cs="Arial"/>
          <w:sz w:val="20"/>
        </w:rPr>
      </w:pPr>
    </w:p>
    <w:p w:rsidR="00845BCB" w:rsidRPr="000F510A" w:rsidP="00845BCB" w14:paraId="2E6E6F89" w14:textId="77777777">
      <w:pPr>
        <w:pStyle w:val="BodyText"/>
        <w:spacing w:before="0" w:after="120" w:line="276" w:lineRule="auto"/>
        <w:rPr>
          <w:rFonts w:cs="Arial"/>
          <w:color w:val="000000"/>
        </w:rPr>
      </w:pPr>
    </w:p>
    <w:p w:rsidR="00E057D5" w:rsidRPr="00E057D5" w:rsidP="00FF254C" w14:paraId="56D82621" w14:textId="77777777">
      <w:pPr>
        <w:pStyle w:val="BodyText"/>
        <w:spacing w:before="5" w:line="276" w:lineRule="auto"/>
        <w:rPr>
          <w:rFonts w:cs="Arial"/>
          <w:b/>
          <w:i/>
        </w:rPr>
      </w:pPr>
    </w:p>
    <w:p w:rsidR="00E057D5" w:rsidP="00FF254C" w14:paraId="18AE0E4E" w14:textId="61C5F601">
      <w:pPr>
        <w:spacing w:line="276" w:lineRule="auto"/>
        <w:rPr>
          <w:rFonts w:ascii="Arial" w:hAnsi="Arial" w:cs="Arial"/>
          <w:sz w:val="20"/>
        </w:rPr>
      </w:pPr>
    </w:p>
    <w:p w:rsidR="00034957" w:rsidP="00FF254C" w14:paraId="02688511" w14:textId="77777777">
      <w:pPr>
        <w:spacing w:line="276" w:lineRule="auto"/>
        <w:rPr>
          <w:rFonts w:ascii="Arial" w:hAnsi="Arial" w:cs="Arial"/>
          <w:sz w:val="20"/>
        </w:rPr>
      </w:pPr>
    </w:p>
    <w:sectPr w:rsidSect="0084451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 w:orient="portrait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QAAAAEA&#10;" wne:acdName="acd0" wne:fciIndexBasedOn="0065"/>
    <wne:acd wne:argValue="AQAAAAIA&#10;" wne:acdName="acd1" wne:fciIndexBasedOn="0065"/>
    <wne:acd wne:argValue="AQAAAAMA&#10;" wne:acdName="acd2" wne:fciIndexBasedOn="0065"/>
    <wne:acd wne:argValue="&#10;" wne:acdName="acd3" wne:fciIndexBasedOn="0065"/>
    <wne:acd wne:argValue="&#10;" wne:acdName="acd4" wne:fciIndexBasedOn="0065"/>
    <wne:acd wne:argValue="AgBuAHUAbQBiAGUAcgBlAGQAIABpAHQAZQBtAA==&#10;" wne:acdName="acd5" wne:fciIndexBasedOn="0065"/>
    <wne:acd wne:argValue="AgBuAHUAbQBiAGUAcgBlAGQAIABpAHQAZQBtACAAbABlAHYAZQBsACAAMgA=&#10;" wne:acdName="acd6" wne:fciIndexBasedOn="0065"/>
    <wne:acd wne:argValue="AgB0AGEAYgBsAGUAIABiAHUAbABsAGUAdAA=&#10;" wne:acdName="acd7" wne:fciIndexBasedOn="0065"/>
    <wne:acd wne:argValue="AgB0AGEAYgBsAGUAIABiAHUAbABsAGUAdAAyAA==&#10;" wne:acdName="acd8" wne:fciIndexBasedOn="0065"/>
    <wne:acd wne:argValue="AgB0AGEAYgBsAGUAIABiAHUAbABsAGUAdAAzAA==&#10;" wne:acdName="acd9" wne:fciIndexBasedOn="0065"/>
    <wne:acd wne:argValue="AgBpAG4AZABlAG4AdAA=&#10;" wne:acdName="acd10" wne:fciIndexBasedOn="0065"/>
    <wne:acd wne:argValue="AgBMAGkAbgBlAA==&#10;" wne:acdName="acd11" wne:fciIndexBasedOn="0065"/>
    <wne:acd wne:argValue="AgBJAG4AZABlAG4AdAAyAA==&#10;" wne:acdName="acd12" wne:fciIndexBasedOn="0065"/>
    <wne:acd wne:argValue="AgBJAG4AZABlAG4AdAAzAA==&#10;" wne:acdName="acd13" wne:fciIndexBasedOn="0065"/>
    <wne:acd wne:argValue="AgB0AGEAYgBsAGUAIAB0AGUAeAB0AA==&#10;" wne:acdName="acd14" wne:fciIndexBasedOn="0065"/>
    <wne:acd wne:argValue="AgB0AGEAYgBsAGUAIABoAGUAYQBkAA==&#10;" wne:acdName="acd15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leNew">
    <w:panose1 w:val="02000602050000020003"/>
    <w:charset w:val="00"/>
    <w:family w:val="modern"/>
    <w:notTrueType/>
    <w:pitch w:val="variable"/>
    <w:sig w:usb0="800000AF" w:usb1="5000407B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2343" w14:paraId="0F99D1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503042163"/>
          <w:docPartObj>
            <w:docPartGallery w:val="Page Numbers (Top of Page)"/>
            <w:docPartUnique/>
          </w:docPartObj>
        </w:sdtPr>
        <w:sdtContent>
          <w:p w:rsidR="006E4CBC" w:rsidRPr="00823578" w:rsidP="00823578" w14:paraId="1D813858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6E4CBC" w:rsidP="00A2325C" w14:paraId="3A8003B1" w14:textId="3C396369">
            <w:pPr>
              <w:pStyle w:val="Footer"/>
              <w:pBdr>
                <w:top w:val="none" w:sz="0" w:space="0" w:color="auto"/>
              </w:pBdr>
              <w:jc w:val="right"/>
            </w:pPr>
            <w:r w:rsidRPr="00A2325C">
              <w:rPr>
                <w:i w:val="0"/>
                <w:iCs/>
              </w:rPr>
              <w:t xml:space="preserve">Page 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A2325C">
              <w:rPr>
                <w:bCs/>
                <w:i w:val="0"/>
                <w:iCs/>
              </w:rPr>
              <w:instrText xml:space="preserve"> PAGE </w:instrTex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A2325C">
              <w:rPr>
                <w:bCs/>
                <w:i w:val="0"/>
                <w:iCs/>
              </w:rPr>
              <w:t>1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  <w:r w:rsidRPr="00A2325C">
              <w:rPr>
                <w:i w:val="0"/>
                <w:iCs/>
              </w:rPr>
              <w:t xml:space="preserve"> of 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A2325C">
              <w:rPr>
                <w:bCs/>
                <w:i w:val="0"/>
                <w:iCs/>
              </w:rPr>
              <w:instrText xml:space="preserve"> NUMPAGES  </w:instrTex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A2325C">
              <w:rPr>
                <w:bCs/>
                <w:i w:val="0"/>
                <w:iCs/>
              </w:rPr>
              <w:t>3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966894541"/>
      <w:docPartObj>
        <w:docPartGallery w:val="Page Numbers (Bottom of Page)"/>
        <w:docPartUnique/>
      </w:docPartObj>
    </w:sdtPr>
    <w:sdtContent>
      <w:sdt>
        <w:sdtPr>
          <w:id w:val="1918052504"/>
          <w:docPartObj>
            <w:docPartGallery w:val="Page Numbers (Top of Page)"/>
            <w:docPartUnique/>
          </w:docPartObj>
        </w:sdtPr>
        <w:sdtContent>
          <w:p w:rsidR="00D004EC" w:rsidRPr="00823578" w:rsidP="00823578" w14:paraId="39471BF9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802753722"/>
      <w:docPartObj>
        <w:docPartGallery w:val="Page Numbers (Bottom of Page)"/>
        <w:docPartUnique/>
      </w:docPartObj>
    </w:sdtPr>
    <w:sdtContent>
      <w:sdt>
        <w:sdtPr>
          <w:id w:val="-1290353999"/>
          <w:docPartObj>
            <w:docPartGallery w:val="Page Numbers (Top of Page)"/>
            <w:docPartUnique/>
          </w:docPartObj>
        </w:sdtPr>
        <w:sdtContent>
          <w:p w:rsidR="00D004EC" w:rsidP="00A2325C" w14:paraId="46C14497" w14:textId="77777777">
            <w:pPr>
              <w:pStyle w:val="Footer"/>
              <w:pBdr>
                <w:top w:val="none" w:sz="0" w:space="0" w:color="auto"/>
              </w:pBdr>
              <w:jc w:val="right"/>
            </w:pPr>
            <w:r w:rsidRPr="00A2325C">
              <w:rPr>
                <w:i w:val="0"/>
                <w:iCs/>
              </w:rPr>
              <w:t xml:space="preserve">Page 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A2325C">
              <w:rPr>
                <w:bCs/>
                <w:i w:val="0"/>
                <w:iCs/>
              </w:rPr>
              <w:instrText xml:space="preserve"> PAGE </w:instrTex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A2325C">
              <w:rPr>
                <w:bCs/>
                <w:i w:val="0"/>
                <w:iCs/>
              </w:rPr>
              <w:t>1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  <w:r w:rsidRPr="00A2325C">
              <w:rPr>
                <w:i w:val="0"/>
                <w:iCs/>
              </w:rPr>
              <w:t xml:space="preserve"> of 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A2325C">
              <w:rPr>
                <w:bCs/>
                <w:i w:val="0"/>
                <w:iCs/>
              </w:rPr>
              <w:instrText xml:space="preserve"> NUMPAGES  </w:instrTex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A2325C">
              <w:rPr>
                <w:bCs/>
                <w:i w:val="0"/>
                <w:iCs/>
              </w:rPr>
              <w:t>2</w:t>
            </w:r>
            <w:r w:rsidRPr="00A2325C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5DBD" w14:paraId="34D99B9C" w14:textId="77777777">
    <w:pPr>
      <w:pStyle w:val="Footer"/>
    </w:pPr>
  </w:p>
  <w:p w:rsidR="00004928" w14:paraId="046E4999" w14:textId="7777777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i w:val="0"/>
        <w:iCs w:val="0"/>
      </w:rPr>
      <w:id w:val="1613171537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sdt>
        <w:sdtPr>
          <w:rPr>
            <w:i w:val="0"/>
            <w:iCs w:val="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  <w:iCs w:val="0"/>
          </w:rPr>
        </w:sdtEndPr>
        <w:sdtContent>
          <w:p w:rsidR="00BC681F" w:rsidRPr="00BC681F" w:rsidP="00BC681F" w14:paraId="2226C429" w14:textId="77777777">
            <w:pPr>
              <w:pStyle w:val="Footer"/>
              <w:pBdr>
                <w:top w:val="none" w:sz="0" w:space="0" w:color="auto"/>
              </w:pBdr>
              <w:jc w:val="right"/>
              <w:rPr>
                <w:i w:val="0"/>
                <w:iCs/>
              </w:rPr>
            </w:pPr>
            <w:r w:rsidRPr="00BC681F">
              <w:rPr>
                <w:i w:val="0"/>
                <w:iCs/>
              </w:rPr>
              <w:t xml:space="preserve">Page 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BC681F">
              <w:rPr>
                <w:bCs/>
                <w:i w:val="0"/>
                <w:iCs/>
              </w:rPr>
              <w:instrText xml:space="preserve"> PAGE </w:instrTex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BC681F">
              <w:rPr>
                <w:bCs/>
                <w:i w:val="0"/>
                <w:iCs/>
              </w:rPr>
              <w:t>3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  <w:r w:rsidRPr="00BC681F">
              <w:rPr>
                <w:i w:val="0"/>
                <w:iCs/>
              </w:rPr>
              <w:t xml:space="preserve"> of 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begin"/>
            </w:r>
            <w:r w:rsidRPr="00BC681F">
              <w:rPr>
                <w:bCs/>
                <w:i w:val="0"/>
                <w:iCs/>
              </w:rPr>
              <w:instrText xml:space="preserve"> NUMPAGES  </w:instrTex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separate"/>
            </w:r>
            <w:r w:rsidRPr="00BC681F">
              <w:rPr>
                <w:bCs/>
                <w:i w:val="0"/>
                <w:iCs/>
              </w:rPr>
              <w:t>3</w:t>
            </w:r>
            <w:r w:rsidRPr="00BC681F">
              <w:rPr>
                <w:b w:val="0"/>
                <w:bCs/>
                <w:i w:val="0"/>
                <w:iCs/>
                <w:sz w:val="24"/>
                <w:szCs w:val="24"/>
              </w:rPr>
              <w:fldChar w:fldCharType="end"/>
            </w:r>
          </w:p>
        </w:sdtContent>
      </w:sdt>
    </w:sdtContent>
  </w:sdt>
  <w:p w:rsidR="009F3B0B" w:rsidRPr="003E23FF" w:rsidP="00BC681F" w14:paraId="44402DCA" w14:textId="77777777">
    <w:pPr>
      <w:pStyle w:val="Footer"/>
      <w:pBdr>
        <w:top w:val="none" w:sz="0" w:space="0" w:color="auto"/>
      </w:pBdr>
      <w:rPr>
        <w:i w:val="0"/>
      </w:rPr>
    </w:pPr>
  </w:p>
  <w:p w:rsidR="00004928" w14:paraId="14637B20" w14:textId="7777777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5DBD" w14:paraId="2DBE271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2343" w14:paraId="52999D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2343" w14:paraId="466F1DB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5BCB" w:rsidP="00845BCB" w14:paraId="0CA4AD0C" w14:textId="77777777">
    <w:pPr>
      <w:pStyle w:val="DocTitle"/>
    </w:pPr>
    <w:r>
      <w:rPr>
        <w:noProof/>
      </w:rPr>
      <w:drawing>
        <wp:inline distT="0" distB="0" distL="0" distR="0">
          <wp:extent cx="4432300" cy="317500"/>
          <wp:effectExtent l="0" t="0" r="0" b="0"/>
          <wp:docPr id="1529095909" name="Picture 1529095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095909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4CBC" w:rsidRPr="00845BCB" w:rsidP="00845BCB" w14:paraId="279239EF" w14:textId="4C5FA769">
    <w:pPr>
      <w:pStyle w:val="DocTitle"/>
      <w:rPr>
        <w:color w:val="17365D" w:themeColor="text2" w:themeShade="BF"/>
      </w:rPr>
    </w:pPr>
    <w:r w:rsidRPr="00845BCB">
      <w:rPr>
        <w:color w:val="17365D" w:themeColor="text2" w:themeShade="BF"/>
      </w:rPr>
      <w:t>Clinical Billing Risk Assessment -0</w:t>
    </w:r>
    <w:r>
      <w:rPr>
        <w:color w:val="17365D" w:themeColor="text2" w:themeShade="BF"/>
      </w:rPr>
      <w:t>405</w:t>
    </w:r>
    <w:r w:rsidRPr="00845BCB">
      <w:rPr>
        <w:color w:val="17365D" w:themeColor="text2" w:themeShade="BF"/>
      </w:rPr>
      <w:t>-Procedure</w:t>
    </w:r>
  </w:p>
  <w:p w:rsidR="006E4CBC" w:rsidRPr="00E92232" w:rsidP="008D3096" w14:paraId="2FC553DD" w14:textId="4F5CA72B">
    <w:pPr>
      <w:rPr>
        <w:rFonts w:ascii="Arial" w:hAnsi="Arial" w:cs="Arial"/>
        <w:sz w:val="20"/>
      </w:rPr>
    </w:pPr>
    <w:r w:rsidRPr="00E92232">
      <w:rPr>
        <w:rFonts w:ascii="Arial" w:hAnsi="Arial" w:cs="Arial"/>
        <w:b/>
        <w:bCs/>
        <w:sz w:val="20"/>
      </w:rPr>
      <w:t>Responsible Office: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>
      <w:rPr>
        <w:rFonts w:ascii="Arial" w:hAnsi="Arial" w:cs="Arial"/>
        <w:sz w:val="20"/>
      </w:rPr>
      <w:t>YCCI</w:t>
    </w:r>
  </w:p>
  <w:p w:rsidR="006E4CBC" w:rsidRPr="00E92232" w:rsidP="008D3096" w14:paraId="68F10592" w14:textId="44118F67">
    <w:pPr>
      <w:rPr>
        <w:rFonts w:ascii="Arial" w:hAnsi="Arial" w:cs="Arial"/>
        <w:b/>
        <w:bCs/>
        <w:sz w:val="20"/>
      </w:rPr>
    </w:pPr>
    <w:r w:rsidRPr="00E92232">
      <w:rPr>
        <w:rFonts w:ascii="Arial" w:hAnsi="Arial" w:cs="Arial"/>
        <w:b/>
        <w:bCs/>
        <w:sz w:val="20"/>
      </w:rPr>
      <w:t>Policy Sponsor: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="008044F8">
      <w:rPr>
        <w:rFonts w:ascii="Arial" w:hAnsi="Arial" w:cs="Arial"/>
        <w:sz w:val="20"/>
      </w:rPr>
      <w:t>Nancy Shelton</w:t>
    </w:r>
    <w:r>
      <w:rPr>
        <w:rFonts w:ascii="Arial" w:hAnsi="Arial" w:cs="Arial"/>
        <w:sz w:val="20"/>
      </w:rPr>
      <w:t>, Allison Gavaletz</w:t>
    </w:r>
  </w:p>
  <w:p w:rsidR="006E4CBC" w:rsidP="007519A4" w14:paraId="643B2AEB" w14:textId="77777777">
    <w:pPr>
      <w:pBdr>
        <w:bottom w:val="single" w:sz="6" w:space="1" w:color="auto"/>
      </w:pBdr>
      <w:rPr>
        <w:b/>
        <w:bCs/>
        <w:szCs w:val="24"/>
      </w:rPr>
    </w:pPr>
    <w:r w:rsidRPr="00E92232">
      <w:rPr>
        <w:rFonts w:ascii="Arial" w:hAnsi="Arial" w:cs="Arial"/>
        <w:b/>
        <w:bCs/>
        <w:sz w:val="20"/>
      </w:rPr>
      <w:t>Effective Date: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fldChar w:fldCharType="begin"/>
    </w:r>
    <w:r w:rsidRPr="00E92232">
      <w:rPr>
        <w:rFonts w:ascii="Arial" w:hAnsi="Arial" w:cs="Arial"/>
        <w:sz w:val="20"/>
      </w:rPr>
      <w:instrText xml:space="preserve"> DOCVARIABLE </w:instrText>
    </w:r>
    <w:r w:rsidRPr="00E92232">
      <w:rPr>
        <w:rFonts w:ascii="Arial" w:hAnsi="Arial" w:cs="Arial"/>
        <w:sz w:val="20"/>
      </w:rPr>
      <w:instrText>Last_Periodic_Review_Date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\*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MERGEFORMAT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fldChar w:fldCharType="separate"/>
    </w:r>
    <w:r w:rsidRPr="00E92232">
      <w:rPr>
        <w:rFonts w:ascii="Arial" w:hAnsi="Arial" w:cs="Arial"/>
        <w:sz w:val="20"/>
      </w:rPr>
      <w:t>12/06/2023</w:t>
    </w:r>
    <w:r w:rsidRPr="00E92232">
      <w:rPr>
        <w:rFonts w:ascii="Arial" w:hAnsi="Arial" w:cs="Arial"/>
        <w:sz w:val="20"/>
      </w:rPr>
      <w:fldChar w:fldCharType="end"/>
    </w:r>
    <w:r w:rsidRPr="00E92232">
      <w:rPr>
        <w:rFonts w:ascii="Arial" w:hAnsi="Arial" w:cs="Arial"/>
        <w:b/>
        <w:bCs/>
        <w:sz w:val="20"/>
      </w:rPr>
      <w:tab/>
    </w:r>
    <w:r>
      <w:rPr>
        <w:b/>
        <w:bCs/>
        <w:szCs w:val="24"/>
      </w:rPr>
      <w:br/>
    </w:r>
    <w:r>
      <w:rPr>
        <w:b/>
        <w:bCs/>
        <w:szCs w:val="24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04EC" w:rsidP="005E5583" w14:paraId="0C421F6C" w14:textId="77777777">
    <w:pPr>
      <w:pStyle w:val="DocTitle"/>
    </w:pPr>
    <w:r>
      <w:rPr>
        <w:noProof/>
      </w:rPr>
      <w:drawing>
        <wp:inline distT="0" distB="0" distL="0" distR="0">
          <wp:extent cx="2505075" cy="742950"/>
          <wp:effectExtent l="0" t="0" r="9525" b="0"/>
          <wp:docPr id="403533505" name="Picture 403533505" descr="Graphical user interface, 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533505" name="image1.png" descr="Graphical user interface, text&#10;&#10;Description automatically generated with medium confidence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505591" cy="743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04EC" w:rsidRPr="00E92232" w:rsidP="007519A4" w14:paraId="5FBC2482" w14:textId="77777777">
    <w:pPr>
      <w:rPr>
        <w:rFonts w:ascii="Arial" w:hAnsi="Arial" w:eastAsiaTheme="majorEastAsia" w:cs="Arial"/>
        <w:b/>
        <w:spacing w:val="-10"/>
        <w:kern w:val="28"/>
        <w:szCs w:val="24"/>
      </w:rPr>
    </w:pP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fldChar w:fldCharType="begin"/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instrText xml:space="preserve"> DOCVARIABLE </w:instrTex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instrText>Document_Title</w:instrTex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instrText xml:space="preserve"> </w:instrTex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instrText>\*</w:instrTex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instrText xml:space="preserve"> </w:instrTex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instrText>MERGEFORMAT</w:instrTex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instrText xml:space="preserve"> </w:instrTex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fldChar w:fldCharType="separate"/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t>Clinical Billing Risk Assessment -0405- Procedure</w:t>
    </w:r>
    <w:r w:rsidRPr="00E92232">
      <w:rPr>
        <w:rFonts w:ascii="Arial" w:hAnsi="Arial" w:eastAsiaTheme="majorEastAsia" w:cs="Arial"/>
        <w:b/>
        <w:spacing w:val="-10"/>
        <w:kern w:val="28"/>
        <w:sz w:val="36"/>
        <w:szCs w:val="56"/>
      </w:rPr>
      <w:fldChar w:fldCharType="end"/>
    </w:r>
  </w:p>
  <w:p w:rsidR="00D004EC" w:rsidRPr="00E92232" w:rsidP="008D3096" w14:paraId="4FD18ADC" w14:textId="77777777">
    <w:pPr>
      <w:rPr>
        <w:rFonts w:ascii="Arial" w:hAnsi="Arial" w:cs="Arial"/>
        <w:b/>
        <w:bCs/>
        <w:szCs w:val="24"/>
      </w:rPr>
    </w:pPr>
  </w:p>
  <w:p w:rsidR="00D004EC" w:rsidRPr="00E92232" w:rsidP="008D3096" w14:paraId="34C8E886" w14:textId="77777777">
    <w:pPr>
      <w:rPr>
        <w:rFonts w:ascii="Arial" w:hAnsi="Arial" w:cs="Arial"/>
        <w:sz w:val="20"/>
      </w:rPr>
    </w:pPr>
    <w:r w:rsidRPr="00E92232">
      <w:rPr>
        <w:rFonts w:ascii="Arial" w:hAnsi="Arial" w:cs="Arial"/>
        <w:b/>
        <w:bCs/>
        <w:sz w:val="20"/>
      </w:rPr>
      <w:t>Responsible Office: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fldChar w:fldCharType="begin"/>
    </w:r>
    <w:r w:rsidRPr="00E92232">
      <w:rPr>
        <w:rFonts w:ascii="Arial" w:hAnsi="Arial" w:cs="Arial"/>
        <w:sz w:val="20"/>
      </w:rPr>
      <w:instrText xml:space="preserve"> DOCVARIABLE </w:instrText>
    </w:r>
    <w:r w:rsidRPr="00E92232">
      <w:rPr>
        <w:rFonts w:ascii="Arial" w:hAnsi="Arial" w:cs="Arial"/>
        <w:sz w:val="20"/>
      </w:rPr>
      <w:instrText>WR_Department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\*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MERGEFORMAT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fldChar w:fldCharType="separate"/>
    </w:r>
    <w:r w:rsidRPr="00E92232">
      <w:rPr>
        <w:rFonts w:ascii="Arial" w:hAnsi="Arial" w:cs="Arial"/>
        <w:sz w:val="20"/>
      </w:rPr>
      <w:t>Not Assigned</w:t>
    </w:r>
    <w:r w:rsidRPr="00E92232">
      <w:rPr>
        <w:rFonts w:ascii="Arial" w:hAnsi="Arial" w:cs="Arial"/>
        <w:sz w:val="20"/>
      </w:rPr>
      <w:fldChar w:fldCharType="end"/>
    </w:r>
  </w:p>
  <w:p w:rsidR="00D004EC" w:rsidRPr="00E92232" w:rsidP="008D3096" w14:paraId="1A8D24EA" w14:textId="77777777">
    <w:pPr>
      <w:rPr>
        <w:rFonts w:ascii="Arial" w:hAnsi="Arial" w:cs="Arial"/>
        <w:sz w:val="20"/>
      </w:rPr>
    </w:pPr>
    <w:r w:rsidRPr="00E92232">
      <w:rPr>
        <w:rFonts w:ascii="Arial" w:hAnsi="Arial" w:cs="Arial"/>
        <w:b/>
        <w:bCs/>
        <w:sz w:val="20"/>
      </w:rPr>
      <w:t xml:space="preserve">Responsible Official: 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t>Co-Directors</w:t>
    </w:r>
  </w:p>
  <w:p w:rsidR="00D004EC" w:rsidRPr="00E92232" w:rsidP="008D3096" w14:paraId="33CDDC62" w14:textId="77777777">
    <w:pPr>
      <w:rPr>
        <w:rFonts w:ascii="Arial" w:hAnsi="Arial" w:cs="Arial"/>
        <w:b/>
        <w:bCs/>
        <w:sz w:val="20"/>
      </w:rPr>
    </w:pPr>
    <w:r w:rsidRPr="00E92232">
      <w:rPr>
        <w:rFonts w:ascii="Arial" w:hAnsi="Arial" w:cs="Arial"/>
        <w:b/>
        <w:bCs/>
        <w:sz w:val="20"/>
      </w:rPr>
      <w:t>Policy Sponsor: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fldChar w:fldCharType="begin"/>
    </w:r>
    <w:r w:rsidRPr="00E92232">
      <w:rPr>
        <w:rFonts w:ascii="Arial" w:hAnsi="Arial" w:cs="Arial"/>
        <w:sz w:val="20"/>
      </w:rPr>
      <w:instrText xml:space="preserve"> DOCVARIABLE </w:instrText>
    </w:r>
    <w:r w:rsidRPr="00E92232">
      <w:rPr>
        <w:rFonts w:ascii="Arial" w:hAnsi="Arial" w:cs="Arial"/>
        <w:sz w:val="20"/>
      </w:rPr>
      <w:instrText>WR_Both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\*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MERGEFORMAT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fldChar w:fldCharType="separate"/>
    </w:r>
    <w:r w:rsidRPr="00E92232">
      <w:rPr>
        <w:rFonts w:ascii="Arial" w:hAnsi="Arial" w:cs="Arial"/>
        <w:sz w:val="20"/>
      </w:rPr>
      <w:t>Not Assigned</w:t>
    </w:r>
    <w:r w:rsidRPr="00E92232">
      <w:rPr>
        <w:rFonts w:ascii="Arial" w:hAnsi="Arial" w:cs="Arial"/>
        <w:sz w:val="20"/>
      </w:rPr>
      <w:fldChar w:fldCharType="end"/>
    </w:r>
  </w:p>
  <w:p w:rsidR="00D004EC" w:rsidRPr="00E92232" w:rsidP="008D3096" w14:paraId="7B8C57FE" w14:textId="77777777">
    <w:pPr>
      <w:rPr>
        <w:rFonts w:ascii="Arial" w:hAnsi="Arial" w:cs="Arial"/>
        <w:b/>
        <w:bCs/>
        <w:sz w:val="20"/>
      </w:rPr>
    </w:pPr>
    <w:r w:rsidRPr="00E92232">
      <w:rPr>
        <w:rFonts w:ascii="Arial" w:hAnsi="Arial" w:cs="Arial"/>
        <w:b/>
        <w:bCs/>
        <w:sz w:val="20"/>
      </w:rPr>
      <w:t>Document Administrator: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fldChar w:fldCharType="begin"/>
    </w:r>
    <w:r w:rsidRPr="00E92232">
      <w:rPr>
        <w:rFonts w:ascii="Arial" w:hAnsi="Arial" w:cs="Arial"/>
        <w:sz w:val="20"/>
      </w:rPr>
      <w:instrText xml:space="preserve"> DOCVARIABLE </w:instrText>
    </w:r>
    <w:r w:rsidRPr="00E92232">
      <w:rPr>
        <w:rFonts w:ascii="Arial" w:hAnsi="Arial" w:cs="Arial"/>
        <w:sz w:val="20"/>
      </w:rPr>
      <w:instrText>PO_Both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\*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MERGEFORMAT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fldChar w:fldCharType="separate"/>
    </w:r>
    <w:r w:rsidRPr="00E92232">
      <w:rPr>
        <w:rFonts w:ascii="Arial" w:hAnsi="Arial" w:cs="Arial"/>
        <w:sz w:val="20"/>
      </w:rPr>
      <w:t>Audrey King</w:t>
    </w:r>
    <w:r w:rsidRPr="00E92232">
      <w:rPr>
        <w:rFonts w:ascii="Arial" w:hAnsi="Arial" w:cs="Arial"/>
        <w:sz w:val="20"/>
      </w:rPr>
      <w:fldChar w:fldCharType="end"/>
    </w:r>
  </w:p>
  <w:p w:rsidR="00D004EC" w:rsidRPr="00E92232" w:rsidP="008D3096" w14:paraId="5218948C" w14:textId="77777777">
    <w:pPr>
      <w:rPr>
        <w:rFonts w:ascii="Arial" w:hAnsi="Arial" w:cs="Arial"/>
        <w:sz w:val="20"/>
      </w:rPr>
    </w:pPr>
    <w:r w:rsidRPr="00E92232">
      <w:rPr>
        <w:rFonts w:ascii="Arial" w:hAnsi="Arial" w:cs="Arial"/>
        <w:b/>
        <w:bCs/>
        <w:sz w:val="20"/>
      </w:rPr>
      <w:t xml:space="preserve">Date of Origin: 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fldChar w:fldCharType="begin"/>
    </w:r>
    <w:r w:rsidRPr="00E92232">
      <w:rPr>
        <w:rFonts w:ascii="Arial" w:hAnsi="Arial" w:cs="Arial"/>
        <w:sz w:val="20"/>
      </w:rPr>
      <w:instrText xml:space="preserve"> DOCVARIABLE </w:instrText>
    </w:r>
    <w:r w:rsidRPr="00E92232">
      <w:rPr>
        <w:rFonts w:ascii="Arial" w:hAnsi="Arial" w:cs="Arial"/>
        <w:sz w:val="20"/>
      </w:rPr>
      <w:instrText>Original_Creation_Date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\*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MERGEFORMAT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fldChar w:fldCharType="separate"/>
    </w:r>
    <w:r w:rsidRPr="00E92232">
      <w:rPr>
        <w:rFonts w:ascii="Arial" w:hAnsi="Arial" w:cs="Arial"/>
        <w:sz w:val="20"/>
      </w:rPr>
      <w:t>12/06/2023</w:t>
    </w:r>
    <w:r w:rsidRPr="00E92232">
      <w:rPr>
        <w:rFonts w:ascii="Arial" w:hAnsi="Arial" w:cs="Arial"/>
        <w:sz w:val="20"/>
      </w:rPr>
      <w:fldChar w:fldCharType="end"/>
    </w:r>
  </w:p>
  <w:p w:rsidR="00D004EC" w:rsidRPr="00E92232" w:rsidP="008D3096" w14:paraId="1407A0A5" w14:textId="77777777">
    <w:pPr>
      <w:rPr>
        <w:rFonts w:ascii="Arial" w:hAnsi="Arial" w:cs="Arial"/>
        <w:b/>
        <w:bCs/>
        <w:sz w:val="20"/>
      </w:rPr>
    </w:pPr>
    <w:r w:rsidRPr="00E92232">
      <w:rPr>
        <w:rFonts w:ascii="Arial" w:hAnsi="Arial" w:cs="Arial"/>
        <w:b/>
        <w:bCs/>
        <w:sz w:val="20"/>
      </w:rPr>
      <w:t>Approval Date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fldChar w:fldCharType="begin"/>
    </w:r>
    <w:r w:rsidRPr="00E92232">
      <w:rPr>
        <w:rFonts w:ascii="Arial" w:hAnsi="Arial" w:cs="Arial"/>
        <w:sz w:val="20"/>
      </w:rPr>
      <w:instrText xml:space="preserve"> DOCVARIABLE </w:instrText>
    </w:r>
    <w:r w:rsidRPr="00E92232">
      <w:rPr>
        <w:rFonts w:ascii="Arial" w:hAnsi="Arial" w:cs="Arial"/>
        <w:sz w:val="20"/>
      </w:rPr>
      <w:instrText>Date_Approved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\*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MERGEFORMAT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fldChar w:fldCharType="separate"/>
    </w:r>
    <w:r w:rsidRPr="00E92232">
      <w:rPr>
        <w:rFonts w:ascii="Arial" w:hAnsi="Arial" w:cs="Arial"/>
        <w:sz w:val="20"/>
      </w:rPr>
      <w:t>12/06/2023</w:t>
    </w:r>
    <w:r w:rsidRPr="00E92232">
      <w:rPr>
        <w:rFonts w:ascii="Arial" w:hAnsi="Arial" w:cs="Arial"/>
        <w:sz w:val="20"/>
      </w:rPr>
      <w:fldChar w:fldCharType="end"/>
    </w:r>
  </w:p>
  <w:p w:rsidR="00D004EC" w:rsidP="007519A4" w14:paraId="03AA8EFF" w14:textId="77777777">
    <w:pPr>
      <w:pBdr>
        <w:bottom w:val="single" w:sz="6" w:space="1" w:color="auto"/>
      </w:pBdr>
      <w:rPr>
        <w:b/>
        <w:bCs/>
        <w:szCs w:val="24"/>
      </w:rPr>
    </w:pPr>
    <w:r w:rsidRPr="00E92232">
      <w:rPr>
        <w:rFonts w:ascii="Arial" w:hAnsi="Arial" w:cs="Arial"/>
        <w:b/>
        <w:bCs/>
        <w:sz w:val="20"/>
      </w:rPr>
      <w:t>Effective Date:</w:t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b/>
        <w:bCs/>
        <w:sz w:val="20"/>
      </w:rPr>
      <w:tab/>
    </w:r>
    <w:r w:rsidRPr="00E92232">
      <w:rPr>
        <w:rFonts w:ascii="Arial" w:hAnsi="Arial" w:cs="Arial"/>
        <w:sz w:val="20"/>
      </w:rPr>
      <w:fldChar w:fldCharType="begin"/>
    </w:r>
    <w:r w:rsidRPr="00E92232">
      <w:rPr>
        <w:rFonts w:ascii="Arial" w:hAnsi="Arial" w:cs="Arial"/>
        <w:sz w:val="20"/>
      </w:rPr>
      <w:instrText xml:space="preserve"> DOCVARIABLE </w:instrText>
    </w:r>
    <w:r w:rsidRPr="00E92232">
      <w:rPr>
        <w:rFonts w:ascii="Arial" w:hAnsi="Arial" w:cs="Arial"/>
        <w:sz w:val="20"/>
      </w:rPr>
      <w:instrText>Last_Periodic_Review_Date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\*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instrText>MERGEFORMAT</w:instrText>
    </w:r>
    <w:r w:rsidRPr="00E92232">
      <w:rPr>
        <w:rFonts w:ascii="Arial" w:hAnsi="Arial" w:cs="Arial"/>
        <w:sz w:val="20"/>
      </w:rPr>
      <w:instrText xml:space="preserve"> </w:instrText>
    </w:r>
    <w:r w:rsidRPr="00E92232">
      <w:rPr>
        <w:rFonts w:ascii="Arial" w:hAnsi="Arial" w:cs="Arial"/>
        <w:sz w:val="20"/>
      </w:rPr>
      <w:fldChar w:fldCharType="separate"/>
    </w:r>
    <w:r w:rsidRPr="00E92232">
      <w:rPr>
        <w:rFonts w:ascii="Arial" w:hAnsi="Arial" w:cs="Arial"/>
        <w:sz w:val="20"/>
      </w:rPr>
      <w:t>12/06/2023</w:t>
    </w:r>
    <w:r w:rsidRPr="00E92232">
      <w:rPr>
        <w:rFonts w:ascii="Arial" w:hAnsi="Arial" w:cs="Arial"/>
        <w:sz w:val="20"/>
      </w:rPr>
      <w:fldChar w:fldCharType="end"/>
    </w:r>
    <w:r w:rsidRPr="00E92232">
      <w:rPr>
        <w:rFonts w:ascii="Arial" w:hAnsi="Arial" w:cs="Arial"/>
        <w:b/>
        <w:bCs/>
        <w:sz w:val="20"/>
      </w:rPr>
      <w:tab/>
    </w:r>
    <w:r>
      <w:rPr>
        <w:b/>
        <w:bCs/>
        <w:szCs w:val="24"/>
      </w:rPr>
      <w:br/>
    </w:r>
    <w:r>
      <w:rPr>
        <w:b/>
        <w:bCs/>
        <w:szCs w:val="24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3F14" w14:paraId="3CDFFE62" w14:textId="77777777">
    <w:pPr>
      <w:pStyle w:val="Header"/>
    </w:pPr>
  </w:p>
  <w:p w:rsidR="00004928" w14:paraId="6D919430" w14:textId="7777777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3B0B" w:rsidRPr="00BC681F" w:rsidP="00BC681F" w14:paraId="369116F5" w14:textId="77777777">
    <w:pPr>
      <w:pStyle w:val="Header"/>
      <w:pBdr>
        <w:top w:val="none" w:sz="0" w:space="0" w:color="auto"/>
      </w:pBdr>
    </w:pPr>
  </w:p>
  <w:p w:rsidR="00004928" w14:paraId="645E9CC4" w14:textId="7777777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A0D" w:rsidRPr="00FC6491" w:rsidP="00FC6491" w14:paraId="69CDE1B2" w14:textId="77777777">
    <w:pPr>
      <w:rPr>
        <w:rFonts w:ascii="YaleNew" w:hAnsi="YaleNew"/>
        <w:color w:val="00356B"/>
        <w:sz w:val="72"/>
        <w:szCs w:val="72"/>
      </w:rPr>
    </w:pPr>
    <w:r w:rsidRPr="00666857">
      <w:rPr>
        <w:rFonts w:ascii="YaleNew" w:hAnsi="YaleNew"/>
        <w:color w:val="00356B"/>
        <w:sz w:val="76"/>
        <w:szCs w:val="76"/>
      </w:rPr>
      <w:t>Yale</w:t>
    </w:r>
    <w:r w:rsidRPr="00FC6491">
      <w:rPr>
        <w:rFonts w:ascii="YaleNew" w:hAnsi="YaleNew"/>
        <w:color w:val="00356B"/>
        <w:sz w:val="72"/>
        <w:szCs w:val="72"/>
      </w:rPr>
      <w:t xml:space="preserve"> </w:t>
    </w:r>
    <w:r w:rsidRPr="000F651F">
      <w:rPr>
        <w:rFonts w:ascii="YaleNew" w:hAnsi="YaleNew"/>
        <w:color w:val="00356B"/>
        <w:sz w:val="52"/>
        <w:szCs w:val="52"/>
      </w:rPr>
      <w:t>SCHOOL OF MEDICINE</w:t>
    </w:r>
  </w:p>
  <w:p w:rsidR="00801AF1" w:rsidRPr="00B55AAE" w:rsidP="00364A0D" w14:paraId="1A586BF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741870"/>
    <w:multiLevelType w:val="hybridMultilevel"/>
    <w:tmpl w:val="59E6408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3560FC"/>
    <w:multiLevelType w:val="hybridMultilevel"/>
    <w:tmpl w:val="AF4EE8D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4A4B82"/>
    <w:multiLevelType w:val="hybridMultilevel"/>
    <w:tmpl w:val="FAD2FC9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57179F"/>
    <w:multiLevelType w:val="hybridMultilevel"/>
    <w:tmpl w:val="902A0C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BA7D68"/>
    <w:multiLevelType w:val="singleLevel"/>
    <w:tmpl w:val="045A4EBE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372CDA"/>
    <w:multiLevelType w:val="hybridMultilevel"/>
    <w:tmpl w:val="5D40C19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77D9B"/>
    <w:multiLevelType w:val="hybridMultilevel"/>
    <w:tmpl w:val="499C7324"/>
    <w:lvl w:ilvl="0">
      <w:start w:val="1"/>
      <w:numFmt w:val="bullet"/>
      <w:pStyle w:val="Bullet2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bullet"/>
      <w:pStyle w:val="Bullet3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2B14638"/>
    <w:multiLevelType w:val="hybridMultilevel"/>
    <w:tmpl w:val="2B780E12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tablebullet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D5F9C"/>
    <w:multiLevelType w:val="hybridMultilevel"/>
    <w:tmpl w:val="807A51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6C1224"/>
    <w:multiLevelType w:val="hybridMultilevel"/>
    <w:tmpl w:val="94748BD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F497D" w:themeColor="text2"/>
        <w:position w:val="-2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94DC4"/>
    <w:multiLevelType w:val="hybridMultilevel"/>
    <w:tmpl w:val="FD82F0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2A1707"/>
    <w:multiLevelType w:val="hybridMultilevel"/>
    <w:tmpl w:val="76FAB0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1431A"/>
    <w:multiLevelType w:val="hybridMultilevel"/>
    <w:tmpl w:val="1E6459C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EF47AA"/>
    <w:multiLevelType w:val="multilevel"/>
    <w:tmpl w:val="5156BF28"/>
    <w:lvl w:ilvl="0">
      <w:start w:val="1"/>
      <w:numFmt w:val="decimal"/>
      <w:lvlText w:val="%1.0"/>
      <w:lvlJc w:val="left"/>
      <w:pPr>
        <w:ind w:left="46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7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5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3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1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8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46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4" w:hanging="327"/>
      </w:pPr>
      <w:rPr>
        <w:rFonts w:hint="default"/>
        <w:lang w:val="en-US" w:eastAsia="en-US" w:bidi="ar-SA"/>
      </w:rPr>
    </w:lvl>
  </w:abstractNum>
  <w:abstractNum w:abstractNumId="15" w15:restartNumberingAfterBreak="0">
    <w:nsid w:val="3ABF6D03"/>
    <w:multiLevelType w:val="hybridMultilevel"/>
    <w:tmpl w:val="D17E882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445544E"/>
    <w:multiLevelType w:val="hybridMultilevel"/>
    <w:tmpl w:val="D57816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61BE4"/>
    <w:multiLevelType w:val="hybridMultilevel"/>
    <w:tmpl w:val="597675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3756A8"/>
    <w:multiLevelType w:val="hybridMultilevel"/>
    <w:tmpl w:val="1924D7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B10F5F"/>
    <w:multiLevelType w:val="hybridMultilevel"/>
    <w:tmpl w:val="50B0FA5C"/>
    <w:lvl w:ilvl="0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CE80BB4"/>
    <w:multiLevelType w:val="hybridMultilevel"/>
    <w:tmpl w:val="C2E43F9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891D13"/>
    <w:multiLevelType w:val="multilevel"/>
    <w:tmpl w:val="29702E18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350526E"/>
    <w:multiLevelType w:val="hybridMultilevel"/>
    <w:tmpl w:val="7436B41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F497D" w:themeColor="text2"/>
        <w:position w:val="-2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121581"/>
    <w:multiLevelType w:val="hybridMultilevel"/>
    <w:tmpl w:val="779C3D4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9547F88"/>
    <w:multiLevelType w:val="multilevel"/>
    <w:tmpl w:val="BE369F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3B611F"/>
    <w:multiLevelType w:val="multilevel"/>
    <w:tmpl w:val="0ADACB7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3DB6489"/>
    <w:multiLevelType w:val="hybridMultilevel"/>
    <w:tmpl w:val="5D4CA6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EE34B6"/>
    <w:multiLevelType w:val="hybridMultilevel"/>
    <w:tmpl w:val="CA72316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5D67392"/>
    <w:multiLevelType w:val="hybridMultilevel"/>
    <w:tmpl w:val="2FBA828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DD23E1"/>
    <w:multiLevelType w:val="hybridMultilevel"/>
    <w:tmpl w:val="6C905E7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C441F3"/>
    <w:multiLevelType w:val="multilevel"/>
    <w:tmpl w:val="D9926BCA"/>
    <w:lvl w:ilvl="0">
      <w:start w:val="1"/>
      <w:numFmt w:val="decimal"/>
      <w:lvlText w:val="%1.0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1" w15:restartNumberingAfterBreak="0">
    <w:nsid w:val="79B15B49"/>
    <w:multiLevelType w:val="singleLevel"/>
    <w:tmpl w:val="A3D83A8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7894480">
    <w:abstractNumId w:val="31"/>
  </w:num>
  <w:num w:numId="2" w16cid:durableId="2019381590">
    <w:abstractNumId w:val="7"/>
  </w:num>
  <w:num w:numId="3" w16cid:durableId="1314800816">
    <w:abstractNumId w:val="6"/>
  </w:num>
  <w:num w:numId="4" w16cid:durableId="660541806">
    <w:abstractNumId w:val="4"/>
  </w:num>
  <w:num w:numId="5" w16cid:durableId="1718890816">
    <w:abstractNumId w:val="10"/>
  </w:num>
  <w:num w:numId="6" w16cid:durableId="1626815938">
    <w:abstractNumId w:val="30"/>
  </w:num>
  <w:num w:numId="7" w16cid:durableId="188033005">
    <w:abstractNumId w:val="3"/>
  </w:num>
  <w:num w:numId="8" w16cid:durableId="2001611608">
    <w:abstractNumId w:val="12"/>
  </w:num>
  <w:num w:numId="9" w16cid:durableId="158431147">
    <w:abstractNumId w:val="15"/>
  </w:num>
  <w:num w:numId="10" w16cid:durableId="1045829789">
    <w:abstractNumId w:val="17"/>
  </w:num>
  <w:num w:numId="11" w16cid:durableId="1776097496">
    <w:abstractNumId w:val="13"/>
  </w:num>
  <w:num w:numId="12" w16cid:durableId="1191451107">
    <w:abstractNumId w:val="26"/>
  </w:num>
  <w:num w:numId="13" w16cid:durableId="1459301750">
    <w:abstractNumId w:val="8"/>
  </w:num>
  <w:num w:numId="14" w16cid:durableId="1259217049">
    <w:abstractNumId w:val="24"/>
  </w:num>
  <w:num w:numId="15" w16cid:durableId="447549081">
    <w:abstractNumId w:val="0"/>
  </w:num>
  <w:num w:numId="16" w16cid:durableId="617378431">
    <w:abstractNumId w:val="27"/>
  </w:num>
  <w:num w:numId="17" w16cid:durableId="1120606456">
    <w:abstractNumId w:val="5"/>
  </w:num>
  <w:num w:numId="18" w16cid:durableId="638460244">
    <w:abstractNumId w:val="22"/>
  </w:num>
  <w:num w:numId="19" w16cid:durableId="1415470845">
    <w:abstractNumId w:val="18"/>
  </w:num>
  <w:num w:numId="20" w16cid:durableId="1461455832">
    <w:abstractNumId w:val="29"/>
  </w:num>
  <w:num w:numId="21" w16cid:durableId="155189563">
    <w:abstractNumId w:val="9"/>
  </w:num>
  <w:num w:numId="22" w16cid:durableId="1399865994">
    <w:abstractNumId w:val="21"/>
  </w:num>
  <w:num w:numId="23" w16cid:durableId="1726486681">
    <w:abstractNumId w:val="14"/>
  </w:num>
  <w:num w:numId="24" w16cid:durableId="1508784931">
    <w:abstractNumId w:val="20"/>
  </w:num>
  <w:num w:numId="25" w16cid:durableId="250703795">
    <w:abstractNumId w:val="25"/>
  </w:num>
  <w:num w:numId="26" w16cid:durableId="768044209">
    <w:abstractNumId w:val="2"/>
  </w:num>
  <w:num w:numId="27" w16cid:durableId="1194150504">
    <w:abstractNumId w:val="16"/>
  </w:num>
  <w:num w:numId="28" w16cid:durableId="1447432372">
    <w:abstractNumId w:val="1"/>
  </w:num>
  <w:num w:numId="29" w16cid:durableId="2125728343">
    <w:abstractNumId w:val="23"/>
  </w:num>
  <w:num w:numId="30" w16cid:durableId="1469856985">
    <w:abstractNumId w:val="28"/>
  </w:num>
  <w:num w:numId="31" w16cid:durableId="1503543988">
    <w:abstractNumId w:val="11"/>
  </w:num>
  <w:num w:numId="32" w16cid:durableId="1886671808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1F08" w:allStyles="0" w:alternateStyleNames="0" w:clearFormatting="1" w:customStyles="0" w:directFormattingOnNumbering="1" w:directFormattingOnParagraphs="1" w:directFormattingOnRuns="1" w:directFormattingOnTables="1" w:headingStyles="0" w:latentStyles="0" w:numberingStyles="0" w:stylesInUse="1" w:tableStyles="0" w:top3HeadingStyles="0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21"/>
    <w:rsid w:val="00001F49"/>
    <w:rsid w:val="000027CA"/>
    <w:rsid w:val="00003B7B"/>
    <w:rsid w:val="00004928"/>
    <w:rsid w:val="00005C14"/>
    <w:rsid w:val="00006876"/>
    <w:rsid w:val="00006C2F"/>
    <w:rsid w:val="00007D05"/>
    <w:rsid w:val="00011FCA"/>
    <w:rsid w:val="000169BC"/>
    <w:rsid w:val="00022D91"/>
    <w:rsid w:val="0002391B"/>
    <w:rsid w:val="00025CC9"/>
    <w:rsid w:val="00033FF2"/>
    <w:rsid w:val="00034957"/>
    <w:rsid w:val="0005290F"/>
    <w:rsid w:val="00053D74"/>
    <w:rsid w:val="00070F28"/>
    <w:rsid w:val="0007105D"/>
    <w:rsid w:val="000835A5"/>
    <w:rsid w:val="0008413B"/>
    <w:rsid w:val="000941F9"/>
    <w:rsid w:val="000968D8"/>
    <w:rsid w:val="000A0153"/>
    <w:rsid w:val="000A08B8"/>
    <w:rsid w:val="000A1546"/>
    <w:rsid w:val="000A2594"/>
    <w:rsid w:val="000A5C78"/>
    <w:rsid w:val="000A60CE"/>
    <w:rsid w:val="000A64C5"/>
    <w:rsid w:val="000B23EB"/>
    <w:rsid w:val="000C570F"/>
    <w:rsid w:val="000D5F1F"/>
    <w:rsid w:val="000E1DCA"/>
    <w:rsid w:val="000E5793"/>
    <w:rsid w:val="000E6116"/>
    <w:rsid w:val="000E6AFB"/>
    <w:rsid w:val="000F0F28"/>
    <w:rsid w:val="000F19DB"/>
    <w:rsid w:val="000F33BD"/>
    <w:rsid w:val="000F374C"/>
    <w:rsid w:val="000F3F14"/>
    <w:rsid w:val="000F4F5B"/>
    <w:rsid w:val="000F510A"/>
    <w:rsid w:val="000F651F"/>
    <w:rsid w:val="000F728C"/>
    <w:rsid w:val="00105361"/>
    <w:rsid w:val="00107B49"/>
    <w:rsid w:val="00107E52"/>
    <w:rsid w:val="00113637"/>
    <w:rsid w:val="00117703"/>
    <w:rsid w:val="00121A11"/>
    <w:rsid w:val="001251D9"/>
    <w:rsid w:val="0012718A"/>
    <w:rsid w:val="00142309"/>
    <w:rsid w:val="0015648B"/>
    <w:rsid w:val="00162BCF"/>
    <w:rsid w:val="0016649B"/>
    <w:rsid w:val="001669A2"/>
    <w:rsid w:val="001719AC"/>
    <w:rsid w:val="0017611A"/>
    <w:rsid w:val="00177A9C"/>
    <w:rsid w:val="00181446"/>
    <w:rsid w:val="001820E8"/>
    <w:rsid w:val="00182572"/>
    <w:rsid w:val="00183283"/>
    <w:rsid w:val="001955CA"/>
    <w:rsid w:val="001970F4"/>
    <w:rsid w:val="001A0CFC"/>
    <w:rsid w:val="001A7501"/>
    <w:rsid w:val="001A7AF1"/>
    <w:rsid w:val="001B4791"/>
    <w:rsid w:val="001B5AC9"/>
    <w:rsid w:val="001B7B5D"/>
    <w:rsid w:val="001C0799"/>
    <w:rsid w:val="001C1FDD"/>
    <w:rsid w:val="001C49D4"/>
    <w:rsid w:val="001C57F3"/>
    <w:rsid w:val="001C7346"/>
    <w:rsid w:val="001D0E49"/>
    <w:rsid w:val="001D18E8"/>
    <w:rsid w:val="001D6E12"/>
    <w:rsid w:val="001E2F63"/>
    <w:rsid w:val="001E482E"/>
    <w:rsid w:val="001E7CC9"/>
    <w:rsid w:val="001F2D93"/>
    <w:rsid w:val="001F686B"/>
    <w:rsid w:val="001F7A0B"/>
    <w:rsid w:val="002039C7"/>
    <w:rsid w:val="00205B46"/>
    <w:rsid w:val="002075CA"/>
    <w:rsid w:val="00210637"/>
    <w:rsid w:val="002130FF"/>
    <w:rsid w:val="00214C14"/>
    <w:rsid w:val="00216640"/>
    <w:rsid w:val="00220BEF"/>
    <w:rsid w:val="00231529"/>
    <w:rsid w:val="00235CE5"/>
    <w:rsid w:val="0024199A"/>
    <w:rsid w:val="00241AD2"/>
    <w:rsid w:val="0024564B"/>
    <w:rsid w:val="00245C8F"/>
    <w:rsid w:val="002465D2"/>
    <w:rsid w:val="00247AF1"/>
    <w:rsid w:val="00260B84"/>
    <w:rsid w:val="002632F6"/>
    <w:rsid w:val="00267E18"/>
    <w:rsid w:val="00270074"/>
    <w:rsid w:val="00270C14"/>
    <w:rsid w:val="00271E24"/>
    <w:rsid w:val="002725F4"/>
    <w:rsid w:val="00277B7B"/>
    <w:rsid w:val="00280E88"/>
    <w:rsid w:val="00281F82"/>
    <w:rsid w:val="00282C2E"/>
    <w:rsid w:val="00283BBB"/>
    <w:rsid w:val="00283E6D"/>
    <w:rsid w:val="00285BB2"/>
    <w:rsid w:val="00286C21"/>
    <w:rsid w:val="002875E0"/>
    <w:rsid w:val="002936CD"/>
    <w:rsid w:val="002961AE"/>
    <w:rsid w:val="002A21AD"/>
    <w:rsid w:val="002A5D5B"/>
    <w:rsid w:val="002A73EE"/>
    <w:rsid w:val="002A7B86"/>
    <w:rsid w:val="002B175D"/>
    <w:rsid w:val="002B183A"/>
    <w:rsid w:val="002B21E1"/>
    <w:rsid w:val="002B7A89"/>
    <w:rsid w:val="002C4A64"/>
    <w:rsid w:val="002C5207"/>
    <w:rsid w:val="002C691D"/>
    <w:rsid w:val="002C6E0D"/>
    <w:rsid w:val="002D15C4"/>
    <w:rsid w:val="002D4024"/>
    <w:rsid w:val="002D50E3"/>
    <w:rsid w:val="002D65C1"/>
    <w:rsid w:val="002E0BB3"/>
    <w:rsid w:val="002F0024"/>
    <w:rsid w:val="002F3DC2"/>
    <w:rsid w:val="00300226"/>
    <w:rsid w:val="00304E50"/>
    <w:rsid w:val="00312D54"/>
    <w:rsid w:val="00315C67"/>
    <w:rsid w:val="00317E90"/>
    <w:rsid w:val="00320658"/>
    <w:rsid w:val="00321D0F"/>
    <w:rsid w:val="00323BDA"/>
    <w:rsid w:val="00327832"/>
    <w:rsid w:val="00331229"/>
    <w:rsid w:val="00331873"/>
    <w:rsid w:val="00332C67"/>
    <w:rsid w:val="00334D7C"/>
    <w:rsid w:val="00340AF8"/>
    <w:rsid w:val="00343BC4"/>
    <w:rsid w:val="003472AD"/>
    <w:rsid w:val="0034772D"/>
    <w:rsid w:val="003548BF"/>
    <w:rsid w:val="00360137"/>
    <w:rsid w:val="00364A0D"/>
    <w:rsid w:val="00371C80"/>
    <w:rsid w:val="00376716"/>
    <w:rsid w:val="00387406"/>
    <w:rsid w:val="00390BDE"/>
    <w:rsid w:val="00390FC2"/>
    <w:rsid w:val="00392960"/>
    <w:rsid w:val="003A24A9"/>
    <w:rsid w:val="003A347D"/>
    <w:rsid w:val="003A622B"/>
    <w:rsid w:val="003B160A"/>
    <w:rsid w:val="003B1AB5"/>
    <w:rsid w:val="003B57D2"/>
    <w:rsid w:val="003B65E2"/>
    <w:rsid w:val="003B786B"/>
    <w:rsid w:val="003C246D"/>
    <w:rsid w:val="003C73AC"/>
    <w:rsid w:val="003D5567"/>
    <w:rsid w:val="003E13B0"/>
    <w:rsid w:val="003E23FF"/>
    <w:rsid w:val="003E469B"/>
    <w:rsid w:val="003F02CE"/>
    <w:rsid w:val="003F08E7"/>
    <w:rsid w:val="003F1630"/>
    <w:rsid w:val="003F429B"/>
    <w:rsid w:val="003F76D1"/>
    <w:rsid w:val="004038C4"/>
    <w:rsid w:val="004069B9"/>
    <w:rsid w:val="00407B99"/>
    <w:rsid w:val="004132B5"/>
    <w:rsid w:val="004142AB"/>
    <w:rsid w:val="0041431B"/>
    <w:rsid w:val="00416917"/>
    <w:rsid w:val="00423312"/>
    <w:rsid w:val="00423D18"/>
    <w:rsid w:val="00425047"/>
    <w:rsid w:val="00426D84"/>
    <w:rsid w:val="00426DC3"/>
    <w:rsid w:val="00430EFA"/>
    <w:rsid w:val="00446529"/>
    <w:rsid w:val="00446703"/>
    <w:rsid w:val="004676A5"/>
    <w:rsid w:val="0047064B"/>
    <w:rsid w:val="00475772"/>
    <w:rsid w:val="0047723D"/>
    <w:rsid w:val="00477589"/>
    <w:rsid w:val="00483DE8"/>
    <w:rsid w:val="00491530"/>
    <w:rsid w:val="00493005"/>
    <w:rsid w:val="004968D4"/>
    <w:rsid w:val="004A0C25"/>
    <w:rsid w:val="004A4DD7"/>
    <w:rsid w:val="004A5EBC"/>
    <w:rsid w:val="004A6CF0"/>
    <w:rsid w:val="004B2E2E"/>
    <w:rsid w:val="004B40C4"/>
    <w:rsid w:val="004B4C5C"/>
    <w:rsid w:val="004C2940"/>
    <w:rsid w:val="004C5C00"/>
    <w:rsid w:val="004C70F6"/>
    <w:rsid w:val="004D23FD"/>
    <w:rsid w:val="004D72E4"/>
    <w:rsid w:val="004E0064"/>
    <w:rsid w:val="004E39DE"/>
    <w:rsid w:val="004F0068"/>
    <w:rsid w:val="004F0266"/>
    <w:rsid w:val="004F03D4"/>
    <w:rsid w:val="004F0A2A"/>
    <w:rsid w:val="004F57B3"/>
    <w:rsid w:val="004F6FC2"/>
    <w:rsid w:val="005027DE"/>
    <w:rsid w:val="0051312B"/>
    <w:rsid w:val="00520E45"/>
    <w:rsid w:val="005214FC"/>
    <w:rsid w:val="005217FD"/>
    <w:rsid w:val="005240F3"/>
    <w:rsid w:val="00524F40"/>
    <w:rsid w:val="0052796E"/>
    <w:rsid w:val="00533692"/>
    <w:rsid w:val="005434C8"/>
    <w:rsid w:val="00552EFC"/>
    <w:rsid w:val="0056675B"/>
    <w:rsid w:val="005668EC"/>
    <w:rsid w:val="00567F11"/>
    <w:rsid w:val="00571237"/>
    <w:rsid w:val="005777ED"/>
    <w:rsid w:val="00582FE3"/>
    <w:rsid w:val="00583A24"/>
    <w:rsid w:val="005865E2"/>
    <w:rsid w:val="005970DC"/>
    <w:rsid w:val="005A2ADD"/>
    <w:rsid w:val="005B0A44"/>
    <w:rsid w:val="005B7864"/>
    <w:rsid w:val="005C0C82"/>
    <w:rsid w:val="005C4EC3"/>
    <w:rsid w:val="005C5F9D"/>
    <w:rsid w:val="005C63F4"/>
    <w:rsid w:val="005D491B"/>
    <w:rsid w:val="005D576B"/>
    <w:rsid w:val="005E496E"/>
    <w:rsid w:val="005E5583"/>
    <w:rsid w:val="005F134E"/>
    <w:rsid w:val="005F2121"/>
    <w:rsid w:val="00601FBF"/>
    <w:rsid w:val="006112E3"/>
    <w:rsid w:val="00613E6F"/>
    <w:rsid w:val="00623821"/>
    <w:rsid w:val="00626E02"/>
    <w:rsid w:val="00634424"/>
    <w:rsid w:val="006361EE"/>
    <w:rsid w:val="006401E3"/>
    <w:rsid w:val="0064051E"/>
    <w:rsid w:val="00647956"/>
    <w:rsid w:val="0065016B"/>
    <w:rsid w:val="00655EEE"/>
    <w:rsid w:val="0066026E"/>
    <w:rsid w:val="00663FE2"/>
    <w:rsid w:val="00665A6B"/>
    <w:rsid w:val="00665E83"/>
    <w:rsid w:val="00666857"/>
    <w:rsid w:val="00672221"/>
    <w:rsid w:val="00677C7F"/>
    <w:rsid w:val="00683203"/>
    <w:rsid w:val="006840C7"/>
    <w:rsid w:val="00684D3C"/>
    <w:rsid w:val="006856D5"/>
    <w:rsid w:val="00692BC0"/>
    <w:rsid w:val="006A0AC1"/>
    <w:rsid w:val="006A453F"/>
    <w:rsid w:val="006B0516"/>
    <w:rsid w:val="006B09DC"/>
    <w:rsid w:val="006B6633"/>
    <w:rsid w:val="006B6C54"/>
    <w:rsid w:val="006B7549"/>
    <w:rsid w:val="006C1388"/>
    <w:rsid w:val="006C1B76"/>
    <w:rsid w:val="006C2776"/>
    <w:rsid w:val="006C6F49"/>
    <w:rsid w:val="006D2A8C"/>
    <w:rsid w:val="006D3CA9"/>
    <w:rsid w:val="006E172D"/>
    <w:rsid w:val="006E201A"/>
    <w:rsid w:val="006E4CBC"/>
    <w:rsid w:val="006E5115"/>
    <w:rsid w:val="006E7105"/>
    <w:rsid w:val="006F2C7F"/>
    <w:rsid w:val="006F2F54"/>
    <w:rsid w:val="00715C85"/>
    <w:rsid w:val="0072321C"/>
    <w:rsid w:val="0072458A"/>
    <w:rsid w:val="00731C56"/>
    <w:rsid w:val="0073281C"/>
    <w:rsid w:val="00734FFD"/>
    <w:rsid w:val="007370CD"/>
    <w:rsid w:val="007439CE"/>
    <w:rsid w:val="007519A4"/>
    <w:rsid w:val="0075361B"/>
    <w:rsid w:val="0075713A"/>
    <w:rsid w:val="00761900"/>
    <w:rsid w:val="00762C18"/>
    <w:rsid w:val="00770CE2"/>
    <w:rsid w:val="00772D23"/>
    <w:rsid w:val="00780B11"/>
    <w:rsid w:val="00781E25"/>
    <w:rsid w:val="00782343"/>
    <w:rsid w:val="0079028A"/>
    <w:rsid w:val="007A1F86"/>
    <w:rsid w:val="007A5B43"/>
    <w:rsid w:val="007B4D50"/>
    <w:rsid w:val="007B6035"/>
    <w:rsid w:val="007C0005"/>
    <w:rsid w:val="007C4B04"/>
    <w:rsid w:val="007D0518"/>
    <w:rsid w:val="007D3543"/>
    <w:rsid w:val="007D7AD3"/>
    <w:rsid w:val="007E0739"/>
    <w:rsid w:val="00801AF1"/>
    <w:rsid w:val="008044F8"/>
    <w:rsid w:val="0080537A"/>
    <w:rsid w:val="00805D01"/>
    <w:rsid w:val="008115C4"/>
    <w:rsid w:val="0081404E"/>
    <w:rsid w:val="00816073"/>
    <w:rsid w:val="00823578"/>
    <w:rsid w:val="00825DBD"/>
    <w:rsid w:val="0083680E"/>
    <w:rsid w:val="0084342E"/>
    <w:rsid w:val="00843C71"/>
    <w:rsid w:val="0084451B"/>
    <w:rsid w:val="00845BCB"/>
    <w:rsid w:val="00845C0D"/>
    <w:rsid w:val="00846053"/>
    <w:rsid w:val="00861A3D"/>
    <w:rsid w:val="008646D0"/>
    <w:rsid w:val="00866767"/>
    <w:rsid w:val="00873DC4"/>
    <w:rsid w:val="00874AAF"/>
    <w:rsid w:val="00881808"/>
    <w:rsid w:val="00886B72"/>
    <w:rsid w:val="008907C9"/>
    <w:rsid w:val="00894643"/>
    <w:rsid w:val="0089772C"/>
    <w:rsid w:val="008A04A8"/>
    <w:rsid w:val="008A153D"/>
    <w:rsid w:val="008A19D9"/>
    <w:rsid w:val="008B39F4"/>
    <w:rsid w:val="008B3C71"/>
    <w:rsid w:val="008B6093"/>
    <w:rsid w:val="008C3E77"/>
    <w:rsid w:val="008D3096"/>
    <w:rsid w:val="008D39F7"/>
    <w:rsid w:val="008D4061"/>
    <w:rsid w:val="008E029F"/>
    <w:rsid w:val="008E13FE"/>
    <w:rsid w:val="008E5B1E"/>
    <w:rsid w:val="008F26E6"/>
    <w:rsid w:val="008F29BF"/>
    <w:rsid w:val="00900D81"/>
    <w:rsid w:val="00901D63"/>
    <w:rsid w:val="00910061"/>
    <w:rsid w:val="00912D28"/>
    <w:rsid w:val="0091676E"/>
    <w:rsid w:val="00917A22"/>
    <w:rsid w:val="00925EF1"/>
    <w:rsid w:val="0092751C"/>
    <w:rsid w:val="009372A2"/>
    <w:rsid w:val="00940D77"/>
    <w:rsid w:val="00941327"/>
    <w:rsid w:val="009436C7"/>
    <w:rsid w:val="00947CC3"/>
    <w:rsid w:val="0095126B"/>
    <w:rsid w:val="00957505"/>
    <w:rsid w:val="00961773"/>
    <w:rsid w:val="00963096"/>
    <w:rsid w:val="009668A6"/>
    <w:rsid w:val="00967AD9"/>
    <w:rsid w:val="00976061"/>
    <w:rsid w:val="009907A3"/>
    <w:rsid w:val="00994F0B"/>
    <w:rsid w:val="00995CFC"/>
    <w:rsid w:val="009A548E"/>
    <w:rsid w:val="009B600C"/>
    <w:rsid w:val="009B7DE3"/>
    <w:rsid w:val="009D1DDA"/>
    <w:rsid w:val="009D34BF"/>
    <w:rsid w:val="009D48C3"/>
    <w:rsid w:val="009D629F"/>
    <w:rsid w:val="009E0102"/>
    <w:rsid w:val="009E2BD7"/>
    <w:rsid w:val="009F0B37"/>
    <w:rsid w:val="009F3B0B"/>
    <w:rsid w:val="009F3B91"/>
    <w:rsid w:val="00A00951"/>
    <w:rsid w:val="00A076F7"/>
    <w:rsid w:val="00A17DCB"/>
    <w:rsid w:val="00A2325C"/>
    <w:rsid w:val="00A236C6"/>
    <w:rsid w:val="00A2536F"/>
    <w:rsid w:val="00A32F73"/>
    <w:rsid w:val="00A33EAC"/>
    <w:rsid w:val="00A3471F"/>
    <w:rsid w:val="00A377CD"/>
    <w:rsid w:val="00A409E7"/>
    <w:rsid w:val="00A650F3"/>
    <w:rsid w:val="00A67ACE"/>
    <w:rsid w:val="00A70A1E"/>
    <w:rsid w:val="00A71C6D"/>
    <w:rsid w:val="00A729D2"/>
    <w:rsid w:val="00A75191"/>
    <w:rsid w:val="00A8014A"/>
    <w:rsid w:val="00A9139F"/>
    <w:rsid w:val="00A943EA"/>
    <w:rsid w:val="00A9555F"/>
    <w:rsid w:val="00AA137C"/>
    <w:rsid w:val="00AA254E"/>
    <w:rsid w:val="00AB1610"/>
    <w:rsid w:val="00AB2B9A"/>
    <w:rsid w:val="00AB373A"/>
    <w:rsid w:val="00AB4044"/>
    <w:rsid w:val="00AB472B"/>
    <w:rsid w:val="00AC20A7"/>
    <w:rsid w:val="00AC382A"/>
    <w:rsid w:val="00AC6E3D"/>
    <w:rsid w:val="00AD14CA"/>
    <w:rsid w:val="00AD3434"/>
    <w:rsid w:val="00AF06E1"/>
    <w:rsid w:val="00AF1970"/>
    <w:rsid w:val="00AF3552"/>
    <w:rsid w:val="00AF664F"/>
    <w:rsid w:val="00B00901"/>
    <w:rsid w:val="00B00F1D"/>
    <w:rsid w:val="00B013FF"/>
    <w:rsid w:val="00B03C65"/>
    <w:rsid w:val="00B15AD0"/>
    <w:rsid w:val="00B168D5"/>
    <w:rsid w:val="00B17CB6"/>
    <w:rsid w:val="00B21E37"/>
    <w:rsid w:val="00B24B0B"/>
    <w:rsid w:val="00B30890"/>
    <w:rsid w:val="00B35EAB"/>
    <w:rsid w:val="00B363A2"/>
    <w:rsid w:val="00B36D9D"/>
    <w:rsid w:val="00B434F6"/>
    <w:rsid w:val="00B44694"/>
    <w:rsid w:val="00B5414C"/>
    <w:rsid w:val="00B55AAE"/>
    <w:rsid w:val="00B613AC"/>
    <w:rsid w:val="00B62DD6"/>
    <w:rsid w:val="00B63FF2"/>
    <w:rsid w:val="00B672AE"/>
    <w:rsid w:val="00B7203C"/>
    <w:rsid w:val="00B73C5A"/>
    <w:rsid w:val="00B73CF8"/>
    <w:rsid w:val="00B74E37"/>
    <w:rsid w:val="00B84669"/>
    <w:rsid w:val="00B874B0"/>
    <w:rsid w:val="00B92045"/>
    <w:rsid w:val="00B92FEC"/>
    <w:rsid w:val="00B96065"/>
    <w:rsid w:val="00B96420"/>
    <w:rsid w:val="00BA08B8"/>
    <w:rsid w:val="00BA1272"/>
    <w:rsid w:val="00BB5D55"/>
    <w:rsid w:val="00BB7E60"/>
    <w:rsid w:val="00BC681F"/>
    <w:rsid w:val="00BC6901"/>
    <w:rsid w:val="00BC792A"/>
    <w:rsid w:val="00BD0408"/>
    <w:rsid w:val="00BD1D01"/>
    <w:rsid w:val="00BD3917"/>
    <w:rsid w:val="00BD44E1"/>
    <w:rsid w:val="00BD7B76"/>
    <w:rsid w:val="00BE1E95"/>
    <w:rsid w:val="00BE246A"/>
    <w:rsid w:val="00BF2477"/>
    <w:rsid w:val="00C02678"/>
    <w:rsid w:val="00C03083"/>
    <w:rsid w:val="00C03FCD"/>
    <w:rsid w:val="00C052A7"/>
    <w:rsid w:val="00C05E0B"/>
    <w:rsid w:val="00C15A23"/>
    <w:rsid w:val="00C23424"/>
    <w:rsid w:val="00C238B8"/>
    <w:rsid w:val="00C32317"/>
    <w:rsid w:val="00C33AD2"/>
    <w:rsid w:val="00C33ED1"/>
    <w:rsid w:val="00C34F07"/>
    <w:rsid w:val="00C36518"/>
    <w:rsid w:val="00C3676B"/>
    <w:rsid w:val="00C40BFC"/>
    <w:rsid w:val="00C548E9"/>
    <w:rsid w:val="00C57A00"/>
    <w:rsid w:val="00C619F3"/>
    <w:rsid w:val="00C66967"/>
    <w:rsid w:val="00C72AE6"/>
    <w:rsid w:val="00C733C6"/>
    <w:rsid w:val="00C83507"/>
    <w:rsid w:val="00C87EA0"/>
    <w:rsid w:val="00C961B9"/>
    <w:rsid w:val="00CB0204"/>
    <w:rsid w:val="00CB34E9"/>
    <w:rsid w:val="00CB64E1"/>
    <w:rsid w:val="00CC03BE"/>
    <w:rsid w:val="00CC4866"/>
    <w:rsid w:val="00CC5F3F"/>
    <w:rsid w:val="00CD4559"/>
    <w:rsid w:val="00CE1E9A"/>
    <w:rsid w:val="00CE7B05"/>
    <w:rsid w:val="00CF044D"/>
    <w:rsid w:val="00CF15DE"/>
    <w:rsid w:val="00CF1FBF"/>
    <w:rsid w:val="00CF4775"/>
    <w:rsid w:val="00D004EC"/>
    <w:rsid w:val="00D0366B"/>
    <w:rsid w:val="00D03EF0"/>
    <w:rsid w:val="00D043FC"/>
    <w:rsid w:val="00D0769C"/>
    <w:rsid w:val="00D103CA"/>
    <w:rsid w:val="00D21CC9"/>
    <w:rsid w:val="00D25267"/>
    <w:rsid w:val="00D30A05"/>
    <w:rsid w:val="00D32D6E"/>
    <w:rsid w:val="00D35C33"/>
    <w:rsid w:val="00D36300"/>
    <w:rsid w:val="00D53B78"/>
    <w:rsid w:val="00D541FC"/>
    <w:rsid w:val="00D557FA"/>
    <w:rsid w:val="00D63424"/>
    <w:rsid w:val="00D705C7"/>
    <w:rsid w:val="00D72598"/>
    <w:rsid w:val="00D733B1"/>
    <w:rsid w:val="00D73471"/>
    <w:rsid w:val="00D77B54"/>
    <w:rsid w:val="00D8057F"/>
    <w:rsid w:val="00D83049"/>
    <w:rsid w:val="00D868D7"/>
    <w:rsid w:val="00D86ED7"/>
    <w:rsid w:val="00D90B52"/>
    <w:rsid w:val="00DA4072"/>
    <w:rsid w:val="00DA65D0"/>
    <w:rsid w:val="00DB2D66"/>
    <w:rsid w:val="00DB398E"/>
    <w:rsid w:val="00DB7C38"/>
    <w:rsid w:val="00DD4275"/>
    <w:rsid w:val="00DE76F3"/>
    <w:rsid w:val="00DF143F"/>
    <w:rsid w:val="00DF174C"/>
    <w:rsid w:val="00E006DC"/>
    <w:rsid w:val="00E057D5"/>
    <w:rsid w:val="00E0788E"/>
    <w:rsid w:val="00E118D9"/>
    <w:rsid w:val="00E1224D"/>
    <w:rsid w:val="00E125B0"/>
    <w:rsid w:val="00E23839"/>
    <w:rsid w:val="00E268F8"/>
    <w:rsid w:val="00E26904"/>
    <w:rsid w:val="00E30079"/>
    <w:rsid w:val="00E3261B"/>
    <w:rsid w:val="00E436E8"/>
    <w:rsid w:val="00E44D3A"/>
    <w:rsid w:val="00E4531C"/>
    <w:rsid w:val="00E51B11"/>
    <w:rsid w:val="00E522BD"/>
    <w:rsid w:val="00E5410F"/>
    <w:rsid w:val="00E56C11"/>
    <w:rsid w:val="00E6151C"/>
    <w:rsid w:val="00E6358E"/>
    <w:rsid w:val="00E65072"/>
    <w:rsid w:val="00E83FF7"/>
    <w:rsid w:val="00E864DF"/>
    <w:rsid w:val="00E8660F"/>
    <w:rsid w:val="00E91234"/>
    <w:rsid w:val="00E912A5"/>
    <w:rsid w:val="00E92232"/>
    <w:rsid w:val="00EA07CA"/>
    <w:rsid w:val="00EA13F8"/>
    <w:rsid w:val="00EA5A10"/>
    <w:rsid w:val="00EB1B81"/>
    <w:rsid w:val="00EB4343"/>
    <w:rsid w:val="00EB5D9A"/>
    <w:rsid w:val="00ED3E5B"/>
    <w:rsid w:val="00ED7BAA"/>
    <w:rsid w:val="00EE2117"/>
    <w:rsid w:val="00EE49F3"/>
    <w:rsid w:val="00EF1C87"/>
    <w:rsid w:val="00F052C1"/>
    <w:rsid w:val="00F1049E"/>
    <w:rsid w:val="00F15CED"/>
    <w:rsid w:val="00F27492"/>
    <w:rsid w:val="00F32810"/>
    <w:rsid w:val="00F335E5"/>
    <w:rsid w:val="00F355A9"/>
    <w:rsid w:val="00F355FD"/>
    <w:rsid w:val="00F43181"/>
    <w:rsid w:val="00F5033D"/>
    <w:rsid w:val="00F51E4F"/>
    <w:rsid w:val="00F56A07"/>
    <w:rsid w:val="00F60F58"/>
    <w:rsid w:val="00F61B5F"/>
    <w:rsid w:val="00F6541E"/>
    <w:rsid w:val="00F7313A"/>
    <w:rsid w:val="00F75ED4"/>
    <w:rsid w:val="00F81AD6"/>
    <w:rsid w:val="00F91149"/>
    <w:rsid w:val="00FA03B5"/>
    <w:rsid w:val="00FA2343"/>
    <w:rsid w:val="00FA3F38"/>
    <w:rsid w:val="00FB3EB9"/>
    <w:rsid w:val="00FB5D38"/>
    <w:rsid w:val="00FB61A9"/>
    <w:rsid w:val="00FC11DD"/>
    <w:rsid w:val="00FC2170"/>
    <w:rsid w:val="00FC6491"/>
    <w:rsid w:val="00FD0074"/>
    <w:rsid w:val="00FD5361"/>
    <w:rsid w:val="00FD6B92"/>
    <w:rsid w:val="00FD6CFC"/>
    <w:rsid w:val="00FE01DA"/>
    <w:rsid w:val="00FE088A"/>
    <w:rsid w:val="00FE4DE5"/>
    <w:rsid w:val="00FF254C"/>
    <w:rsid w:val="00FF4FCC"/>
    <w:rsid w:val="1EA2C8D8"/>
    <w:rsid w:val="1F45584C"/>
    <w:rsid w:val="24EB6DF8"/>
    <w:rsid w:val="34598454"/>
    <w:rsid w:val="35FFEBB2"/>
    <w:rsid w:val="4DF1303D"/>
    <w:rsid w:val="5220AF7C"/>
    <w:rsid w:val="55394D9C"/>
    <w:rsid w:val="6C64D7C7"/>
    <w:rsid w:val="729E1822"/>
  </w:rsids>
  <w:docVars>
    <w:docVar w:name="AP Job Title" w:val="Not Assigned"/>
    <w:docVar w:name="Date Approved" w:val="12/06/2023"/>
    <w:docVar w:name="Date_Approved" w:val="12/06/2023"/>
    <w:docVar w:name="Document Title" w:val="Clinical Billing Risk Assessment -0405- Procedure"/>
    <w:docVar w:name="Document_Title" w:val="Clinical Billing Risk Assessment -0405- Procedure"/>
    <w:docVar w:name="Last Periodic Review Date" w:val="12/06/2023"/>
    <w:docVar w:name="Last_Periodic_Review_Date" w:val="12/06/2023"/>
    <w:docVar w:name="Original Creation Date" w:val="12/06/2023"/>
    <w:docVar w:name="Original_Creation_Date" w:val="12/06/2023"/>
    <w:docVar w:name="PO Both" w:val="Audrey King"/>
    <w:docVar w:name="PO_Both" w:val="Audrey King"/>
    <w:docVar w:name="WR Both" w:val="Not Assigned"/>
    <w:docVar w:name="WR Department" w:val="Not Assigned"/>
    <w:docVar w:name="WR_Both" w:val="Not Assigned"/>
    <w:docVar w:name="WR_Department" w:val="Not Assigned"/>
    <w:docVar w:name="__Grammarly_42___1" w:val="H4sIAAAAAAAEAKtWcslP9kxRslIyNDY2NDcyMjaytDA1NbIwNzVQ0lEKTi0uzszPAykwNKgFAKnF37k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A1DB66"/>
  <w15:docId w15:val="{3E71C025-E425-4524-98D6-4297D2B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A24A9"/>
    <w:rPr>
      <w:sz w:val="24"/>
    </w:rPr>
  </w:style>
  <w:style w:type="paragraph" w:styleId="Heading1">
    <w:name w:val="heading 1"/>
    <w:basedOn w:val="Normal"/>
    <w:next w:val="Normal"/>
    <w:qFormat/>
    <w:rsid w:val="00CF15DE"/>
    <w:pPr>
      <w:keepNext/>
      <w:pBdr>
        <w:top w:val="single" w:sz="4" w:space="1" w:color="auto"/>
      </w:pBdr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DB7C38"/>
    <w:pPr>
      <w:keepNext/>
      <w:spacing w:before="120" w:after="60"/>
      <w:outlineLvl w:val="1"/>
    </w:pPr>
    <w:rPr>
      <w:rFonts w:ascii="Arial" w:hAnsi="Arial"/>
      <w:b/>
      <w:bCs/>
      <w:sz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3B65E2"/>
    <w:pPr>
      <w:keepNext/>
      <w:pBdr>
        <w:top w:val="single" w:sz="4" w:space="1" w:color="auto"/>
      </w:pBdr>
      <w:spacing w:before="240" w:after="60"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qFormat/>
    <w:rsid w:val="003A24A9"/>
    <w:pPr>
      <w:spacing w:before="120"/>
      <w:ind w:left="115" w:right="115"/>
      <w:jc w:val="center"/>
      <w:outlineLvl w:val="3"/>
    </w:pPr>
    <w:rPr>
      <w:rFonts w:ascii="Arial" w:hAnsi="Arial"/>
      <w:b/>
      <w:bCs/>
      <w:color w:val="000000"/>
      <w:sz w:val="20"/>
    </w:rPr>
  </w:style>
  <w:style w:type="paragraph" w:styleId="Heading5">
    <w:name w:val="heading 5"/>
    <w:basedOn w:val="Normal"/>
    <w:next w:val="Normal"/>
    <w:qFormat/>
    <w:rsid w:val="003A24A9"/>
    <w:pPr>
      <w:keepNext/>
      <w:outlineLvl w:val="4"/>
    </w:pPr>
  </w:style>
  <w:style w:type="paragraph" w:styleId="Heading6">
    <w:name w:val="heading 6"/>
    <w:basedOn w:val="Normal"/>
    <w:next w:val="Normal"/>
    <w:qFormat/>
    <w:rsid w:val="003A24A9"/>
    <w:pPr>
      <w:keepNext/>
      <w:outlineLvl w:val="5"/>
    </w:pPr>
  </w:style>
  <w:style w:type="paragraph" w:styleId="Heading7">
    <w:name w:val="heading 7"/>
    <w:basedOn w:val="Normal"/>
    <w:next w:val="Normal"/>
    <w:qFormat/>
    <w:rsid w:val="003A24A9"/>
    <w:pPr>
      <w:keepNext/>
      <w:outlineLvl w:val="6"/>
    </w:pPr>
    <w:rPr>
      <w:bCs/>
    </w:rPr>
  </w:style>
  <w:style w:type="paragraph" w:styleId="Heading8">
    <w:name w:val="heading 8"/>
    <w:basedOn w:val="Normal"/>
    <w:next w:val="Normal"/>
    <w:qFormat/>
    <w:rsid w:val="003A24A9"/>
    <w:pPr>
      <w:keepNext/>
      <w:outlineLvl w:val="7"/>
    </w:pPr>
  </w:style>
  <w:style w:type="paragraph" w:styleId="Heading9">
    <w:name w:val="heading 9"/>
    <w:basedOn w:val="Normal"/>
    <w:next w:val="Normal"/>
    <w:qFormat/>
    <w:rsid w:val="003A24A9"/>
    <w:pPr>
      <w:keepNext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24A9"/>
    <w:pPr>
      <w:pBdr>
        <w:top w:val="single" w:sz="4" w:space="1" w:color="auto"/>
      </w:pBdr>
      <w:tabs>
        <w:tab w:val="right" w:pos="9360"/>
      </w:tabs>
      <w:jc w:val="right"/>
    </w:pPr>
    <w:rPr>
      <w:rFonts w:ascii="Arial" w:hAnsi="Arial"/>
      <w:b/>
      <w:i/>
      <w:sz w:val="16"/>
    </w:rPr>
  </w:style>
  <w:style w:type="paragraph" w:styleId="Footer">
    <w:name w:val="footer"/>
    <w:basedOn w:val="Normal"/>
    <w:link w:val="FooterChar"/>
    <w:uiPriority w:val="99"/>
    <w:rsid w:val="003A24A9"/>
    <w:pPr>
      <w:pBdr>
        <w:top w:val="single" w:sz="4" w:space="1" w:color="auto"/>
      </w:pBdr>
      <w:tabs>
        <w:tab w:val="center" w:pos="4320"/>
        <w:tab w:val="right" w:pos="9360"/>
      </w:tabs>
    </w:pPr>
    <w:rPr>
      <w:rFonts w:ascii="Arial" w:hAnsi="Arial"/>
      <w:b/>
      <w:i/>
      <w:sz w:val="16"/>
    </w:rPr>
  </w:style>
  <w:style w:type="character" w:styleId="PageNumber">
    <w:name w:val="page number"/>
    <w:basedOn w:val="DefaultParagraphFont"/>
    <w:rsid w:val="003A24A9"/>
  </w:style>
  <w:style w:type="paragraph" w:styleId="BodyText">
    <w:name w:val="Body Text"/>
    <w:basedOn w:val="Normal"/>
    <w:link w:val="BodyTextChar"/>
    <w:rsid w:val="003A24A9"/>
    <w:pPr>
      <w:spacing w:before="60" w:after="60"/>
    </w:pPr>
    <w:rPr>
      <w:rFonts w:ascii="Arial" w:hAnsi="Arial"/>
      <w:sz w:val="20"/>
    </w:rPr>
  </w:style>
  <w:style w:type="paragraph" w:customStyle="1" w:styleId="tablehead">
    <w:name w:val="table head"/>
    <w:basedOn w:val="Normal"/>
    <w:rsid w:val="003A24A9"/>
    <w:pPr>
      <w:jc w:val="center"/>
    </w:pPr>
    <w:rPr>
      <w:rFonts w:ascii="Arial" w:hAnsi="Arial"/>
      <w:b/>
      <w:sz w:val="20"/>
    </w:rPr>
  </w:style>
  <w:style w:type="paragraph" w:customStyle="1" w:styleId="tablebullet">
    <w:name w:val="table bullet"/>
    <w:basedOn w:val="Normal"/>
    <w:rsid w:val="003A24A9"/>
    <w:pPr>
      <w:numPr>
        <w:numId w:val="2"/>
      </w:numPr>
      <w:tabs>
        <w:tab w:val="num" w:pos="432"/>
        <w:tab w:val="clear" w:pos="720"/>
      </w:tabs>
      <w:spacing w:before="60" w:after="60"/>
      <w:ind w:left="432" w:hanging="180"/>
    </w:pPr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semiHidden/>
    <w:rsid w:val="003A24A9"/>
    <w:pPr>
      <w:tabs>
        <w:tab w:val="right" w:leader="dot" w:pos="9350"/>
      </w:tabs>
    </w:pPr>
    <w:rPr>
      <w:rFonts w:ascii="Arial" w:hAnsi="Arial"/>
      <w:b/>
      <w:noProof/>
      <w:sz w:val="16"/>
    </w:rPr>
  </w:style>
  <w:style w:type="paragraph" w:styleId="TOC2">
    <w:name w:val="toc 2"/>
    <w:basedOn w:val="Normal"/>
    <w:next w:val="Normal"/>
    <w:autoRedefine/>
    <w:semiHidden/>
    <w:rsid w:val="003A24A9"/>
    <w:pPr>
      <w:tabs>
        <w:tab w:val="right" w:leader="dot" w:pos="9350"/>
      </w:tabs>
      <w:ind w:left="200"/>
    </w:pPr>
    <w:rPr>
      <w:rFonts w:ascii="Arial" w:hAnsi="Arial"/>
      <w:b/>
      <w:noProof/>
      <w:sz w:val="16"/>
    </w:rPr>
  </w:style>
  <w:style w:type="paragraph" w:styleId="TOC3">
    <w:name w:val="toc 3"/>
    <w:basedOn w:val="Normal"/>
    <w:next w:val="Normal"/>
    <w:autoRedefine/>
    <w:uiPriority w:val="39"/>
    <w:rsid w:val="003A24A9"/>
    <w:pPr>
      <w:tabs>
        <w:tab w:val="right" w:leader="dot" w:pos="9350"/>
      </w:tabs>
      <w:ind w:left="400"/>
    </w:pPr>
    <w:rPr>
      <w:noProof/>
      <w:sz w:val="20"/>
    </w:rPr>
  </w:style>
  <w:style w:type="paragraph" w:styleId="TOC4">
    <w:name w:val="toc 4"/>
    <w:basedOn w:val="Normal"/>
    <w:next w:val="Normal"/>
    <w:autoRedefine/>
    <w:semiHidden/>
    <w:rsid w:val="003A24A9"/>
    <w:pPr>
      <w:ind w:left="600"/>
    </w:pPr>
  </w:style>
  <w:style w:type="paragraph" w:styleId="TOC5">
    <w:name w:val="toc 5"/>
    <w:basedOn w:val="Normal"/>
    <w:next w:val="Normal"/>
    <w:autoRedefine/>
    <w:semiHidden/>
    <w:rsid w:val="003A24A9"/>
    <w:pPr>
      <w:ind w:left="800"/>
    </w:pPr>
  </w:style>
  <w:style w:type="paragraph" w:styleId="TOC6">
    <w:name w:val="toc 6"/>
    <w:basedOn w:val="Normal"/>
    <w:next w:val="Normal"/>
    <w:autoRedefine/>
    <w:semiHidden/>
    <w:rsid w:val="003A24A9"/>
    <w:pPr>
      <w:ind w:left="1000"/>
    </w:pPr>
  </w:style>
  <w:style w:type="paragraph" w:styleId="TOC7">
    <w:name w:val="toc 7"/>
    <w:basedOn w:val="Normal"/>
    <w:next w:val="Normal"/>
    <w:autoRedefine/>
    <w:semiHidden/>
    <w:rsid w:val="003A24A9"/>
    <w:pPr>
      <w:ind w:left="1200"/>
    </w:pPr>
  </w:style>
  <w:style w:type="paragraph" w:styleId="TOC8">
    <w:name w:val="toc 8"/>
    <w:basedOn w:val="Normal"/>
    <w:next w:val="Normal"/>
    <w:autoRedefine/>
    <w:semiHidden/>
    <w:rsid w:val="003A24A9"/>
    <w:pPr>
      <w:ind w:left="1400"/>
    </w:pPr>
  </w:style>
  <w:style w:type="paragraph" w:styleId="TOC9">
    <w:name w:val="toc 9"/>
    <w:basedOn w:val="Normal"/>
    <w:next w:val="Normal"/>
    <w:autoRedefine/>
    <w:semiHidden/>
    <w:rsid w:val="003A24A9"/>
    <w:pPr>
      <w:ind w:left="1600"/>
    </w:pPr>
  </w:style>
  <w:style w:type="paragraph" w:customStyle="1" w:styleId="tabletext">
    <w:name w:val="table text"/>
    <w:basedOn w:val="Normal"/>
    <w:rsid w:val="00D8057F"/>
    <w:pPr>
      <w:spacing w:before="40" w:after="40"/>
    </w:pPr>
    <w:rPr>
      <w:rFonts w:ascii="Arial" w:hAnsi="Arial"/>
      <w:sz w:val="20"/>
    </w:rPr>
  </w:style>
  <w:style w:type="character" w:styleId="Hyperlink">
    <w:name w:val="Hyperlink"/>
    <w:rsid w:val="003A24A9"/>
    <w:rPr>
      <w:color w:val="0000FF"/>
      <w:u w:val="single"/>
    </w:rPr>
  </w:style>
  <w:style w:type="paragraph" w:customStyle="1" w:styleId="Disclaimer">
    <w:name w:val="Disclaimer"/>
    <w:basedOn w:val="Normal"/>
    <w:rsid w:val="003A24A9"/>
    <w:pPr>
      <w:pBdr>
        <w:top w:val="single" w:sz="4" w:space="1" w:color="auto"/>
        <w:bottom w:val="single" w:sz="4" w:space="1" w:color="auto"/>
      </w:pBdr>
      <w:jc w:val="center"/>
    </w:pPr>
    <w:rPr>
      <w:rFonts w:ascii="Arial" w:hAnsi="Arial"/>
      <w:sz w:val="16"/>
    </w:rPr>
  </w:style>
  <w:style w:type="paragraph" w:styleId="BodyTextIndent">
    <w:name w:val="Body Text Indent"/>
    <w:basedOn w:val="Normal"/>
    <w:rsid w:val="003A24A9"/>
    <w:pPr>
      <w:spacing w:before="60" w:after="60"/>
      <w:ind w:left="342"/>
    </w:pPr>
    <w:rPr>
      <w:rFonts w:ascii="Arial" w:hAnsi="Arial"/>
      <w:sz w:val="20"/>
    </w:rPr>
  </w:style>
  <w:style w:type="paragraph" w:customStyle="1" w:styleId="Bullet">
    <w:name w:val="Bullet"/>
    <w:basedOn w:val="Normal"/>
    <w:rsid w:val="003A24A9"/>
    <w:pPr>
      <w:numPr>
        <w:numId w:val="1"/>
      </w:numPr>
      <w:spacing w:before="40" w:after="40"/>
      <w:ind w:hanging="180"/>
    </w:pPr>
    <w:rPr>
      <w:rFonts w:ascii="Arial" w:hAnsi="Arial"/>
      <w:bCs/>
      <w:iCs/>
      <w:sz w:val="20"/>
    </w:rPr>
  </w:style>
  <w:style w:type="character" w:styleId="FollowedHyperlink">
    <w:name w:val="FollowedHyperlink"/>
    <w:rsid w:val="003A24A9"/>
    <w:rPr>
      <w:color w:val="800080"/>
      <w:u w:val="single"/>
    </w:rPr>
  </w:style>
  <w:style w:type="paragraph" w:customStyle="1" w:styleId="NumberedList">
    <w:name w:val="Numbered List"/>
    <w:basedOn w:val="Normal"/>
    <w:rsid w:val="003A24A9"/>
    <w:pPr>
      <w:tabs>
        <w:tab w:val="left" w:pos="342"/>
      </w:tabs>
      <w:spacing w:before="60" w:after="60"/>
      <w:ind w:left="346" w:hanging="346"/>
    </w:pPr>
    <w:rPr>
      <w:rFonts w:ascii="Arial" w:hAnsi="Arial"/>
      <w:sz w:val="20"/>
    </w:rPr>
  </w:style>
  <w:style w:type="paragraph" w:styleId="Title">
    <w:name w:val="Title"/>
    <w:basedOn w:val="Normal"/>
    <w:link w:val="TitleChar"/>
    <w:qFormat/>
    <w:rsid w:val="00C05E0B"/>
    <w:rPr>
      <w:rFonts w:ascii="Arial" w:hAnsi="Arial" w:cs="Tahoma"/>
      <w:b/>
      <w:sz w:val="36"/>
    </w:rPr>
  </w:style>
  <w:style w:type="paragraph" w:styleId="BodyTextIndent2">
    <w:name w:val="Body Text Indent 2"/>
    <w:basedOn w:val="Normal"/>
    <w:rsid w:val="003A24A9"/>
    <w:pPr>
      <w:spacing w:after="120"/>
      <w:ind w:left="612"/>
    </w:pPr>
    <w:rPr>
      <w:rFonts w:ascii="Arial" w:hAnsi="Arial"/>
      <w:sz w:val="20"/>
    </w:rPr>
  </w:style>
  <w:style w:type="paragraph" w:customStyle="1" w:styleId="ProcedureNumber">
    <w:name w:val="Procedure Number"/>
    <w:basedOn w:val="Heading5"/>
    <w:rsid w:val="003A24A9"/>
    <w:rPr>
      <w:rFonts w:ascii="Arial" w:hAnsi="Arial"/>
      <w:b/>
      <w:bCs/>
      <w:sz w:val="20"/>
    </w:rPr>
  </w:style>
  <w:style w:type="paragraph" w:styleId="BodyTextIndent3">
    <w:name w:val="Body Text Indent 3"/>
    <w:basedOn w:val="Normal"/>
    <w:rsid w:val="003A24A9"/>
    <w:pPr>
      <w:spacing w:before="60" w:after="120"/>
      <w:ind w:left="792"/>
    </w:pPr>
    <w:rPr>
      <w:rFonts w:ascii="Arial" w:hAnsi="Arial"/>
      <w:sz w:val="20"/>
      <w:szCs w:val="16"/>
    </w:rPr>
  </w:style>
  <w:style w:type="paragraph" w:customStyle="1" w:styleId="Bullet3">
    <w:name w:val="Bullet 3"/>
    <w:basedOn w:val="Normal"/>
    <w:rsid w:val="003A24A9"/>
    <w:pPr>
      <w:numPr>
        <w:ilvl w:val="1"/>
        <w:numId w:val="3"/>
      </w:numPr>
      <w:tabs>
        <w:tab w:val="num" w:pos="792"/>
        <w:tab w:val="clear" w:pos="1872"/>
      </w:tabs>
      <w:ind w:left="792" w:hanging="180"/>
    </w:pPr>
    <w:rPr>
      <w:rFonts w:ascii="Arial" w:hAnsi="Arial"/>
      <w:sz w:val="20"/>
    </w:rPr>
  </w:style>
  <w:style w:type="paragraph" w:customStyle="1" w:styleId="Bullet2">
    <w:name w:val="Bullet 2"/>
    <w:basedOn w:val="Normal"/>
    <w:rsid w:val="003A24A9"/>
    <w:pPr>
      <w:numPr>
        <w:numId w:val="3"/>
      </w:numPr>
      <w:tabs>
        <w:tab w:val="left" w:pos="612"/>
        <w:tab w:val="clear" w:pos="1152"/>
      </w:tabs>
      <w:spacing w:before="60" w:after="60"/>
      <w:ind w:left="612" w:hanging="180"/>
    </w:pPr>
    <w:rPr>
      <w:rFonts w:ascii="Arial" w:hAnsi="Arial"/>
      <w:noProof/>
      <w:sz w:val="20"/>
    </w:rPr>
  </w:style>
  <w:style w:type="paragraph" w:customStyle="1" w:styleId="tablebullet2">
    <w:name w:val="table bullet 2"/>
    <w:basedOn w:val="BodyText"/>
    <w:rsid w:val="003A24A9"/>
    <w:pPr>
      <w:numPr>
        <w:ilvl w:val="1"/>
        <w:numId w:val="2"/>
      </w:numPr>
      <w:tabs>
        <w:tab w:val="num" w:pos="612"/>
        <w:tab w:val="clear" w:pos="1440"/>
      </w:tabs>
      <w:ind w:left="612" w:hanging="180"/>
    </w:pPr>
  </w:style>
  <w:style w:type="paragraph" w:customStyle="1" w:styleId="tablebullet3">
    <w:name w:val="table bullet 3"/>
    <w:basedOn w:val="Normal"/>
    <w:rsid w:val="003A24A9"/>
    <w:pPr>
      <w:tabs>
        <w:tab w:val="num" w:pos="792"/>
      </w:tabs>
      <w:ind w:left="792" w:hanging="180"/>
    </w:pPr>
    <w:rPr>
      <w:rFonts w:ascii="Arial" w:hAnsi="Arial"/>
      <w:sz w:val="20"/>
    </w:rPr>
  </w:style>
  <w:style w:type="paragraph" w:customStyle="1" w:styleId="NumberedList3">
    <w:name w:val="Numbered List 3"/>
    <w:basedOn w:val="Normal"/>
    <w:rsid w:val="003A24A9"/>
    <w:pPr>
      <w:tabs>
        <w:tab w:val="left" w:pos="612"/>
      </w:tabs>
      <w:spacing w:before="60" w:after="60"/>
      <w:ind w:left="886" w:hanging="274"/>
    </w:pPr>
    <w:rPr>
      <w:rFonts w:ascii="Arial" w:hAnsi="Arial"/>
      <w:sz w:val="20"/>
    </w:rPr>
  </w:style>
  <w:style w:type="paragraph" w:customStyle="1" w:styleId="NumberedList2">
    <w:name w:val="Numbered List 2"/>
    <w:basedOn w:val="Normal"/>
    <w:rsid w:val="003A24A9"/>
    <w:pPr>
      <w:tabs>
        <w:tab w:val="left" w:pos="612"/>
      </w:tabs>
      <w:spacing w:before="60" w:after="60"/>
      <w:ind w:left="620" w:hanging="274"/>
    </w:pPr>
    <w:rPr>
      <w:rFonts w:ascii="Arial" w:hAnsi="Arial"/>
      <w:sz w:val="20"/>
    </w:rPr>
  </w:style>
  <w:style w:type="paragraph" w:customStyle="1" w:styleId="NoTable">
    <w:name w:val="No Table"/>
    <w:basedOn w:val="Normal"/>
    <w:rsid w:val="003A24A9"/>
  </w:style>
  <w:style w:type="paragraph" w:customStyle="1" w:styleId="Line">
    <w:name w:val="Line"/>
    <w:basedOn w:val="Normal"/>
    <w:rsid w:val="00CE7B05"/>
    <w:pPr>
      <w:pBdr>
        <w:top w:val="single" w:sz="4" w:space="1" w:color="auto"/>
      </w:pBdr>
    </w:pPr>
    <w:rPr>
      <w:sz w:val="16"/>
      <w:szCs w:val="16"/>
    </w:rPr>
  </w:style>
  <w:style w:type="paragraph" w:customStyle="1" w:styleId="TableText0">
    <w:name w:val="Table Text"/>
    <w:basedOn w:val="BodyText"/>
    <w:next w:val="tabletext"/>
    <w:rsid w:val="003B57D2"/>
    <w:pPr>
      <w:spacing w:before="80" w:after="80"/>
    </w:pPr>
    <w:rPr>
      <w:sz w:val="18"/>
    </w:rPr>
  </w:style>
  <w:style w:type="paragraph" w:customStyle="1" w:styleId="DefinitionText">
    <w:name w:val="Definition Text"/>
    <w:basedOn w:val="BodyText"/>
    <w:rsid w:val="00A377CD"/>
    <w:pPr>
      <w:spacing w:before="0" w:after="120"/>
    </w:pPr>
  </w:style>
  <w:style w:type="paragraph" w:customStyle="1" w:styleId="PolicySectionText">
    <w:name w:val="Policy Section Text"/>
    <w:basedOn w:val="Normal"/>
    <w:rsid w:val="00A377CD"/>
    <w:pPr>
      <w:spacing w:after="160"/>
      <w:ind w:left="720"/>
    </w:pPr>
    <w:rPr>
      <w:rFonts w:ascii="Arial" w:hAnsi="Arial"/>
      <w:sz w:val="20"/>
    </w:rPr>
  </w:style>
  <w:style w:type="paragraph" w:customStyle="1" w:styleId="SectionBullet">
    <w:name w:val="Section Bullet"/>
    <w:basedOn w:val="Normal"/>
    <w:rsid w:val="0092751C"/>
    <w:pPr>
      <w:numPr>
        <w:numId w:val="4"/>
      </w:numPr>
      <w:tabs>
        <w:tab w:val="clear" w:pos="360"/>
        <w:tab w:val="num" w:pos="1800"/>
      </w:tabs>
      <w:spacing w:before="60" w:after="60"/>
      <w:ind w:left="1800"/>
    </w:pPr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927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541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541F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405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051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51E"/>
  </w:style>
  <w:style w:type="paragraph" w:styleId="CommentSubject">
    <w:name w:val="annotation subject"/>
    <w:basedOn w:val="CommentText"/>
    <w:next w:val="CommentText"/>
    <w:link w:val="CommentSubjectChar"/>
    <w:rsid w:val="0064051E"/>
    <w:rPr>
      <w:b/>
      <w:bCs/>
    </w:rPr>
  </w:style>
  <w:style w:type="character" w:customStyle="1" w:styleId="CommentSubjectChar">
    <w:name w:val="Comment Subject Char"/>
    <w:link w:val="CommentSubject"/>
    <w:rsid w:val="0064051E"/>
    <w:rPr>
      <w:b/>
      <w:bCs/>
    </w:rPr>
  </w:style>
  <w:style w:type="character" w:styleId="IntenseEmphasis">
    <w:name w:val="Intense Emphasis"/>
    <w:uiPriority w:val="21"/>
    <w:qFormat/>
    <w:rsid w:val="00277B7B"/>
    <w:rPr>
      <w:b/>
      <w:bCs/>
      <w:i/>
      <w:iCs/>
      <w:color w:val="4F81BD"/>
    </w:rPr>
  </w:style>
  <w:style w:type="paragraph" w:styleId="ListParagraph">
    <w:name w:val="List Paragraph"/>
    <w:basedOn w:val="Normal"/>
    <w:link w:val="ListParagraphChar"/>
    <w:uiPriority w:val="34"/>
    <w:qFormat/>
    <w:rsid w:val="00D86ED7"/>
    <w:pPr>
      <w:ind w:left="720"/>
      <w:contextualSpacing/>
    </w:pPr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rsid w:val="003472AD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B55AAE"/>
    <w:rPr>
      <w:rFonts w:ascii="Arial" w:hAnsi="Arial"/>
      <w:b/>
      <w:i/>
      <w:sz w:val="16"/>
    </w:rPr>
  </w:style>
  <w:style w:type="character" w:customStyle="1" w:styleId="Heading3Char">
    <w:name w:val="Heading 3 Char"/>
    <w:basedOn w:val="DefaultParagraphFont"/>
    <w:link w:val="Heading3"/>
    <w:rsid w:val="003B65E2"/>
    <w:rPr>
      <w:rFonts w:ascii="Arial" w:hAnsi="Arial"/>
      <w:b/>
      <w:bCs/>
      <w:sz w:val="24"/>
    </w:rPr>
  </w:style>
  <w:style w:type="paragraph" w:customStyle="1" w:styleId="Default">
    <w:name w:val="Default"/>
    <w:rsid w:val="004F57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efinitionsText">
    <w:name w:val="Definitions Text"/>
    <w:basedOn w:val="BodyText"/>
    <w:rsid w:val="004F57B3"/>
    <w:pPr>
      <w:spacing w:before="0" w:after="120"/>
    </w:pPr>
  </w:style>
  <w:style w:type="character" w:styleId="Mention">
    <w:name w:val="Mention"/>
    <w:basedOn w:val="DefaultParagraphFont"/>
    <w:uiPriority w:val="99"/>
    <w:semiHidden/>
    <w:unhideWhenUsed/>
    <w:rsid w:val="000A64C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B7DE3"/>
    <w:rPr>
      <w:color w:val="808080"/>
      <w:shd w:val="clear" w:color="auto" w:fill="E6E6E6"/>
    </w:rPr>
  </w:style>
  <w:style w:type="character" w:customStyle="1" w:styleId="TitleChar">
    <w:name w:val="Title Char"/>
    <w:basedOn w:val="DefaultParagraphFont"/>
    <w:link w:val="Title"/>
    <w:rsid w:val="00C05E0B"/>
    <w:rPr>
      <w:rFonts w:ascii="Arial" w:hAnsi="Arial" w:cs="Tahoma"/>
      <w:b/>
      <w:sz w:val="36"/>
    </w:rPr>
  </w:style>
  <w:style w:type="character" w:customStyle="1" w:styleId="normaltextrun">
    <w:name w:val="normaltextrun"/>
    <w:basedOn w:val="DefaultParagraphFont"/>
    <w:rsid w:val="0075713A"/>
  </w:style>
  <w:style w:type="character" w:customStyle="1" w:styleId="FooterChar">
    <w:name w:val="Footer Char"/>
    <w:basedOn w:val="DefaultParagraphFont"/>
    <w:link w:val="Footer"/>
    <w:uiPriority w:val="99"/>
    <w:rsid w:val="00BC681F"/>
    <w:rPr>
      <w:rFonts w:ascii="Arial" w:hAnsi="Arial"/>
      <w:b/>
      <w:i/>
      <w:sz w:val="16"/>
    </w:rPr>
  </w:style>
  <w:style w:type="paragraph" w:customStyle="1" w:styleId="paragraph">
    <w:name w:val="paragraph"/>
    <w:basedOn w:val="Normal"/>
    <w:rsid w:val="00F335E5"/>
    <w:pPr>
      <w:spacing w:before="100" w:beforeAutospacing="1" w:after="100" w:afterAutospacing="1"/>
    </w:pPr>
    <w:rPr>
      <w:szCs w:val="24"/>
    </w:rPr>
  </w:style>
  <w:style w:type="character" w:customStyle="1" w:styleId="tabchar">
    <w:name w:val="tabchar"/>
    <w:basedOn w:val="DefaultParagraphFont"/>
    <w:rsid w:val="00F335E5"/>
  </w:style>
  <w:style w:type="character" w:customStyle="1" w:styleId="eop">
    <w:name w:val="eop"/>
    <w:basedOn w:val="DefaultParagraphFont"/>
    <w:rsid w:val="00F335E5"/>
  </w:style>
  <w:style w:type="paragraph" w:customStyle="1" w:styleId="DocTitle">
    <w:name w:val="Doc Title"/>
    <w:basedOn w:val="Normal"/>
    <w:link w:val="DocTitleChar"/>
    <w:qFormat/>
    <w:rsid w:val="006E4CBC"/>
    <w:pPr>
      <w:pBdr>
        <w:bottom w:val="single" w:sz="6" w:space="1" w:color="auto"/>
      </w:pBdr>
      <w:tabs>
        <w:tab w:val="right" w:pos="9360"/>
      </w:tabs>
      <w:spacing w:after="240" w:line="360" w:lineRule="auto"/>
      <w:contextualSpacing/>
    </w:pPr>
    <w:rPr>
      <w:rFonts w:ascii="Arial" w:hAnsi="Arial" w:eastAsiaTheme="majorEastAsia" w:cstheme="majorBidi"/>
      <w:b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6E4CBC"/>
    <w:pPr>
      <w:pBdr>
        <w:top w:val="none" w:sz="0" w:space="0" w:color="auto"/>
      </w:pBdr>
      <w:spacing w:before="0" w:after="120"/>
      <w:contextualSpacing/>
    </w:pPr>
    <w:rPr>
      <w:bCs w:val="0"/>
      <w:kern w:val="0"/>
      <w:szCs w:val="20"/>
    </w:rPr>
  </w:style>
  <w:style w:type="character" w:customStyle="1" w:styleId="DocTitleChar">
    <w:name w:val="Doc Title Char"/>
    <w:basedOn w:val="DefaultParagraphFont"/>
    <w:link w:val="DocTitle"/>
    <w:rsid w:val="006E4CBC"/>
    <w:rPr>
      <w:rFonts w:ascii="Arial" w:hAnsi="Arial" w:eastAsiaTheme="majorEastAsia" w:cstheme="majorBidi"/>
      <w:b/>
      <w:spacing w:val="-10"/>
      <w:kern w:val="28"/>
      <w:sz w:val="36"/>
      <w:szCs w:val="36"/>
    </w:rPr>
  </w:style>
  <w:style w:type="character" w:customStyle="1" w:styleId="SectionHeadingChar">
    <w:name w:val="Section Heading Char"/>
    <w:basedOn w:val="DefaultParagraphFont"/>
    <w:link w:val="SectionHeading"/>
    <w:rsid w:val="006E4CBC"/>
    <w:rPr>
      <w:rFonts w:ascii="Arial" w:hAnsi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522BD"/>
    <w:rPr>
      <w:rFonts w:ascii="Arial" w:hAnsi="Arial"/>
    </w:rPr>
  </w:style>
  <w:style w:type="paragraph" w:styleId="Revision">
    <w:name w:val="Revision"/>
    <w:hidden/>
    <w:uiPriority w:val="99"/>
    <w:semiHidden/>
    <w:rsid w:val="00DA65D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customizations.xml.rels><?xml version="1.0" encoding="utf-8" standalone="yes"?><Relationships xmlns="http://schemas.openxmlformats.org/package/2006/relationships"><Relationship Id="rId1" Type="http://schemas.microsoft.com/office/2006/relationships/attachedToolbars" Target="attachedToolbars.bin" /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footer" Target="footer4.xml" /><Relationship Id="rId15" Type="http://schemas.openxmlformats.org/officeDocument/2006/relationships/header" Target="header4.xml" /><Relationship Id="rId16" Type="http://schemas.openxmlformats.org/officeDocument/2006/relationships/footer" Target="footer5.xml" /><Relationship Id="rId17" Type="http://schemas.openxmlformats.org/officeDocument/2006/relationships/hyperlink" Target="mailto:ycci.sop@yale.edu" TargetMode="External" /><Relationship Id="rId18" Type="http://schemas.openxmlformats.org/officeDocument/2006/relationships/hyperlink" Target="https://www.cms.gov/medicare-coverage-database/view/ncd.aspx?NCDId=1&amp;ncdver=2&amp;fromdb=true" TargetMode="External" /><Relationship Id="rId19" Type="http://schemas.openxmlformats.org/officeDocument/2006/relationships/hyperlink" Target="https://medicine.yale.edu/ycci/researchservices/compliance/rbc/ysm%20clinical%20research%20billing%20policy%20draft%202019.04.01%20_382337_284_47226_v1.pdf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openxmlformats.org/officeDocument/2006/relationships/footer" Target="footer7.xml" /><Relationship Id="rId24" Type="http://schemas.openxmlformats.org/officeDocument/2006/relationships/header" Target="header7.xml" /><Relationship Id="rId25" Type="http://schemas.openxmlformats.org/officeDocument/2006/relationships/footer" Target="footer8.xml" /><Relationship Id="rId26" Type="http://schemas.microsoft.com/office/2006/relationships/keyMapCustomizations" Target="customizations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24EDF3-2037-43D6-82CC-7144F1DB0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079C46-E179-45A6-A6B2-6C0ACAAF2878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3.xml><?xml version="1.0" encoding="utf-8"?>
<ds:datastoreItem xmlns:ds="http://schemas.openxmlformats.org/officeDocument/2006/customXml" ds:itemID="{D0703F69-A6E5-4B83-9547-4450216E36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174BB-441A-4A45-AD2E-F03E9CA9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0</Lines>
  <Paragraphs>0</Paragraphs>
  <ScaleCrop>false</ScaleCrop>
  <Company>Yale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Clinical Billing Risk Assessment -0405- Procedure</dc:title>
  <dc:creator>Jarosz, Michael</dc:creator>
  <lastModifiedBy>Audrey King</lastModifiedBy>
  <revision>19</revision>
  <lastPrinted>2015-08-17T19:38:00.0000000Z</lastPrinted>
  <dcterms:created xsi:type="dcterms:W3CDTF">2023-11-29T17:24:00.0000000Z</dcterms:created>
  <dcterms:modified xsi:type="dcterms:W3CDTF">2026-02-16T19:57:01.0000000Z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