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6A4426" w14:paraId="6D7616B8" w14:textId="77777777">
      <w:pPr>
        <w:spacing w:after="0" w:line="241" w:lineRule="auto"/>
        <w:ind w:left="360" w:right="5" w:hanging="360"/>
      </w:pPr>
    </w:p>
    <w:p w:rsidR="006A4426" w:rsidRPr="006A4426" w:rsidP="006A4426" w14:paraId="1C5EA3D7" w14:textId="77777777">
      <w:pPr>
        <w:spacing w:after="0" w:line="241" w:lineRule="auto"/>
        <w:ind w:left="360" w:right="5" w:firstLine="0"/>
        <w:rPr>
          <w:rFonts w:ascii="Arial" w:hAnsi="Arial" w:cs="Arial"/>
          <w:szCs w:val="24"/>
        </w:rPr>
      </w:pPr>
    </w:p>
    <w:p w:rsidR="00290AAF" w:rsidRPr="006A4426" w14:paraId="49A2CA0C" w14:textId="7C5D24ED">
      <w:pPr>
        <w:numPr>
          <w:ilvl w:val="0"/>
          <w:numId w:val="1"/>
        </w:numPr>
        <w:spacing w:after="0" w:line="241" w:lineRule="auto"/>
        <w:ind w:right="5" w:hanging="360"/>
        <w:rPr>
          <w:rFonts w:ascii="Arial" w:hAnsi="Arial" w:cs="Arial"/>
          <w:szCs w:val="24"/>
        </w:rPr>
      </w:pPr>
      <w:r w:rsidRPr="006A4426">
        <w:rPr>
          <w:rFonts w:ascii="Arial" w:hAnsi="Arial" w:cs="Arial"/>
          <w:szCs w:val="24"/>
        </w:rPr>
        <w:t xml:space="preserve">The objective of the Yale Medicine Ambulatory Medical Record Completion Guidelines is to ensure all providers have the required information to provide the safest, and most effective care possible in a timely manner.  </w:t>
      </w:r>
    </w:p>
    <w:p w:rsidR="00290AAF" w:rsidRPr="006A4426" w14:paraId="052E086D" w14:textId="77777777">
      <w:pPr>
        <w:spacing w:after="25" w:line="259" w:lineRule="auto"/>
        <w:ind w:left="360" w:right="0" w:firstLine="0"/>
        <w:rPr>
          <w:rFonts w:ascii="Arial" w:hAnsi="Arial" w:cs="Arial"/>
          <w:szCs w:val="24"/>
        </w:rPr>
      </w:pPr>
      <w:r w:rsidRPr="006A4426">
        <w:rPr>
          <w:rFonts w:ascii="Arial" w:hAnsi="Arial" w:cs="Arial"/>
          <w:szCs w:val="24"/>
        </w:rPr>
        <w:t xml:space="preserve"> </w:t>
      </w:r>
    </w:p>
    <w:p w:rsidR="00290AAF" w:rsidRPr="006A4426" w:rsidP="00B7672E" w14:paraId="5205FDCF" w14:textId="77777777">
      <w:pPr>
        <w:spacing w:after="25" w:line="259" w:lineRule="auto"/>
        <w:ind w:left="360" w:right="0" w:firstLine="0"/>
        <w:rPr>
          <w:rFonts w:ascii="Arial" w:hAnsi="Arial" w:cs="Arial"/>
          <w:szCs w:val="24"/>
        </w:rPr>
      </w:pPr>
      <w:r w:rsidRPr="006A4426">
        <w:rPr>
          <w:rFonts w:ascii="Arial" w:hAnsi="Arial" w:cs="Arial"/>
          <w:szCs w:val="24"/>
        </w:rPr>
        <w:t>In order to</w:t>
      </w:r>
      <w:r w:rsidRPr="006A4426">
        <w:rPr>
          <w:rFonts w:ascii="Arial" w:hAnsi="Arial" w:cs="Arial"/>
          <w:szCs w:val="24"/>
        </w:rPr>
        <w:t xml:space="preserve"> keep each patient’s care</w:t>
      </w:r>
      <w:r w:rsidRPr="006A4426">
        <w:rPr>
          <w:rFonts w:ascii="Arial" w:hAnsi="Arial" w:cs="Arial"/>
          <w:szCs w:val="24"/>
        </w:rPr>
        <w:t xml:space="preserve"> team appropriately informed across the health system, providers should strive to complete ambulatory encounters within 24 hours. Because patients are typically cared for by collaborating providers across specialties and locations, failure to complete and </w:t>
      </w:r>
      <w:r w:rsidRPr="006A4426">
        <w:rPr>
          <w:rFonts w:ascii="Arial" w:hAnsi="Arial" w:cs="Arial"/>
          <w:szCs w:val="24"/>
        </w:rPr>
        <w:t xml:space="preserve">close ambulatory encounters within three business of the encounter exposes patients to risk of delays in care, or suboptimal care resulting </w:t>
      </w:r>
      <w:r w:rsidRPr="006A4426">
        <w:rPr>
          <w:rFonts w:ascii="Arial" w:hAnsi="Arial" w:cs="Arial"/>
          <w:szCs w:val="24"/>
        </w:rPr>
        <w:t>from</w:t>
      </w:r>
      <w:r w:rsidRPr="006A4426">
        <w:rPr>
          <w:rFonts w:ascii="Arial" w:hAnsi="Arial" w:cs="Arial"/>
          <w:szCs w:val="24"/>
        </w:rPr>
        <w:t xml:space="preserve"> incomplete information. As such, </w:t>
      </w:r>
      <w:r w:rsidRPr="006A4426">
        <w:rPr>
          <w:rFonts w:ascii="Arial" w:hAnsi="Arial" w:cs="Arial"/>
          <w:b/>
          <w:szCs w:val="24"/>
        </w:rPr>
        <w:t>ambulatory encounters are expected to be closed within three (3) business days</w:t>
      </w:r>
      <w:r w:rsidRPr="006A4426">
        <w:rPr>
          <w:rFonts w:ascii="Arial" w:hAnsi="Arial" w:cs="Arial"/>
          <w:b/>
          <w:szCs w:val="24"/>
        </w:rPr>
        <w:t xml:space="preserve"> of the encounter. </w:t>
      </w:r>
      <w:r w:rsidRPr="006A4426">
        <w:rPr>
          <w:rFonts w:ascii="Arial" w:hAnsi="Arial" w:cs="Arial"/>
          <w:szCs w:val="24"/>
        </w:rPr>
        <w:t xml:space="preserve">Please refer to our Yale Medicine InBasket Management practice standard, </w:t>
      </w:r>
      <w:hyperlink r:id="rId4">
        <w:r w:rsidRPr="006A4426">
          <w:rPr>
            <w:rFonts w:ascii="Arial" w:hAnsi="Arial" w:cs="Arial"/>
            <w:color w:val="0000FF"/>
            <w:szCs w:val="24"/>
            <w:u w:val="single" w:color="0000FF"/>
          </w:rPr>
          <w:t>https://medicine.yale.edu/ymadmin/practicestandards/</w:t>
        </w:r>
      </w:hyperlink>
      <w:hyperlink r:id="rId5">
        <w:r w:rsidRPr="006A4426">
          <w:rPr>
            <w:rFonts w:ascii="Arial" w:hAnsi="Arial" w:cs="Arial"/>
            <w:szCs w:val="24"/>
          </w:rPr>
          <w:t>.</w:t>
        </w:r>
      </w:hyperlink>
      <w:r w:rsidRPr="006A4426">
        <w:rPr>
          <w:rFonts w:ascii="Arial" w:hAnsi="Arial" w:cs="Arial"/>
          <w:szCs w:val="24"/>
        </w:rPr>
        <w:t xml:space="preserve">  </w:t>
      </w:r>
    </w:p>
    <w:p w:rsidR="00290AAF" w:rsidRPr="006A4426" w14:paraId="4AE6E197" w14:textId="77777777">
      <w:pPr>
        <w:spacing w:after="25" w:line="259" w:lineRule="auto"/>
        <w:ind w:left="360" w:right="0" w:firstLine="0"/>
        <w:rPr>
          <w:rFonts w:ascii="Arial" w:hAnsi="Arial" w:cs="Arial"/>
          <w:szCs w:val="24"/>
        </w:rPr>
      </w:pPr>
      <w:r w:rsidRPr="006A4426">
        <w:rPr>
          <w:rFonts w:ascii="Arial" w:hAnsi="Arial" w:cs="Arial"/>
          <w:szCs w:val="24"/>
        </w:rPr>
        <w:t xml:space="preserve"> </w:t>
      </w:r>
    </w:p>
    <w:p w:rsidR="00290AAF" w:rsidRPr="006A4426" w14:paraId="16692D35" w14:textId="77777777">
      <w:pPr>
        <w:numPr>
          <w:ilvl w:val="0"/>
          <w:numId w:val="1"/>
        </w:numPr>
        <w:ind w:right="5" w:hanging="360"/>
        <w:rPr>
          <w:rFonts w:ascii="Arial" w:hAnsi="Arial" w:cs="Arial"/>
          <w:szCs w:val="24"/>
        </w:rPr>
      </w:pPr>
      <w:r w:rsidRPr="006A4426">
        <w:rPr>
          <w:rFonts w:ascii="Arial" w:hAnsi="Arial" w:cs="Arial"/>
          <w:szCs w:val="24"/>
        </w:rPr>
        <w:t>The medical record is also a legal document. It is scrutinized when there is a medical liability claim, and documentation needs to be correct for billin</w:t>
      </w:r>
      <w:r w:rsidRPr="006A4426">
        <w:rPr>
          <w:rFonts w:ascii="Arial" w:hAnsi="Arial" w:cs="Arial"/>
          <w:szCs w:val="24"/>
        </w:rPr>
        <w:t xml:space="preserve">g the services provided. </w:t>
      </w:r>
    </w:p>
    <w:p w:rsidR="00290AAF" w:rsidRPr="006A4426" w14:paraId="5BF80B71" w14:textId="77777777">
      <w:pPr>
        <w:spacing w:after="25" w:line="259" w:lineRule="auto"/>
        <w:ind w:left="720" w:right="0" w:firstLine="0"/>
        <w:rPr>
          <w:rFonts w:ascii="Arial" w:hAnsi="Arial" w:cs="Arial"/>
          <w:szCs w:val="24"/>
        </w:rPr>
      </w:pPr>
      <w:r w:rsidRPr="006A4426">
        <w:rPr>
          <w:rFonts w:ascii="Arial" w:hAnsi="Arial" w:cs="Arial"/>
          <w:szCs w:val="24"/>
        </w:rPr>
        <w:t xml:space="preserve"> </w:t>
      </w:r>
    </w:p>
    <w:p w:rsidR="00290AAF" w:rsidRPr="006A4426" w14:paraId="55DBC8F0" w14:textId="77777777">
      <w:pPr>
        <w:numPr>
          <w:ilvl w:val="0"/>
          <w:numId w:val="1"/>
        </w:numPr>
        <w:ind w:right="5" w:hanging="360"/>
        <w:rPr>
          <w:rFonts w:ascii="Arial" w:hAnsi="Arial" w:cs="Arial"/>
          <w:szCs w:val="24"/>
        </w:rPr>
      </w:pPr>
      <w:r w:rsidRPr="006A4426">
        <w:rPr>
          <w:rFonts w:ascii="Arial" w:hAnsi="Arial" w:cs="Arial"/>
          <w:szCs w:val="24"/>
        </w:rPr>
        <w:t xml:space="preserve">Documentation of encounters must be completed in the EMR. </w:t>
      </w:r>
    </w:p>
    <w:p w:rsidR="00290AAF" w:rsidRPr="006A4426" w14:paraId="6BB885B0" w14:textId="77777777">
      <w:pPr>
        <w:spacing w:after="25" w:line="259" w:lineRule="auto"/>
        <w:ind w:left="360" w:right="0" w:firstLine="0"/>
        <w:rPr>
          <w:rFonts w:ascii="Arial" w:hAnsi="Arial" w:cs="Arial"/>
          <w:szCs w:val="24"/>
        </w:rPr>
      </w:pPr>
      <w:r w:rsidRPr="006A4426">
        <w:rPr>
          <w:rFonts w:ascii="Arial" w:hAnsi="Arial" w:cs="Arial"/>
          <w:szCs w:val="24"/>
        </w:rPr>
        <w:t xml:space="preserve"> </w:t>
      </w:r>
    </w:p>
    <w:p w:rsidR="00290AAF" w:rsidRPr="006A4426" w14:paraId="20ED9D5C" w14:textId="77777777">
      <w:pPr>
        <w:numPr>
          <w:ilvl w:val="0"/>
          <w:numId w:val="1"/>
        </w:numPr>
        <w:ind w:right="5" w:hanging="360"/>
        <w:rPr>
          <w:rFonts w:ascii="Arial" w:hAnsi="Arial" w:cs="Arial"/>
          <w:szCs w:val="24"/>
        </w:rPr>
      </w:pPr>
      <w:r w:rsidRPr="006A4426">
        <w:rPr>
          <w:rFonts w:ascii="Arial" w:hAnsi="Arial" w:cs="Arial"/>
          <w:szCs w:val="24"/>
        </w:rPr>
        <w:t xml:space="preserve">Compliance with documentation standards is a </w:t>
      </w:r>
      <w:r w:rsidRPr="006A4426">
        <w:rPr>
          <w:rFonts w:ascii="Arial" w:hAnsi="Arial" w:cs="Arial"/>
          <w:b/>
          <w:szCs w:val="24"/>
          <w:u w:val="single" w:color="000000"/>
        </w:rPr>
        <w:t>shared responsibility between providers and the</w:t>
      </w:r>
      <w:r w:rsidRPr="006A4426">
        <w:rPr>
          <w:rFonts w:ascii="Arial" w:hAnsi="Arial" w:cs="Arial"/>
          <w:b/>
          <w:szCs w:val="24"/>
        </w:rPr>
        <w:t xml:space="preserve"> </w:t>
      </w:r>
      <w:r w:rsidRPr="006A4426">
        <w:rPr>
          <w:rFonts w:ascii="Arial" w:hAnsi="Arial" w:cs="Arial"/>
          <w:b/>
          <w:szCs w:val="24"/>
          <w:u w:val="single" w:color="000000"/>
        </w:rPr>
        <w:t>departments</w:t>
      </w:r>
      <w:r w:rsidRPr="006A4426">
        <w:rPr>
          <w:rFonts w:ascii="Arial" w:hAnsi="Arial" w:cs="Arial"/>
          <w:szCs w:val="24"/>
        </w:rPr>
        <w:t>.  In some cases, a more comprehensive approach is needed, in collaboration with department and section leadership, to address a provider’s unique challenges to completing their medical records. Please see the Appendix for some options that may be consider</w:t>
      </w:r>
      <w:r w:rsidRPr="006A4426">
        <w:rPr>
          <w:rFonts w:ascii="Arial" w:hAnsi="Arial" w:cs="Arial"/>
          <w:szCs w:val="24"/>
        </w:rPr>
        <w:t xml:space="preserve">ed. </w:t>
      </w:r>
    </w:p>
    <w:p w:rsidR="00290AAF" w:rsidP="006A4426" w14:paraId="56BAA5F7" w14:textId="7E63B118">
      <w:pPr>
        <w:spacing w:after="25" w:line="259" w:lineRule="auto"/>
        <w:ind w:left="0" w:right="0" w:firstLine="0"/>
        <w:rPr>
          <w:rFonts w:ascii="Arial" w:hAnsi="Arial" w:cs="Arial"/>
          <w:szCs w:val="24"/>
        </w:rPr>
      </w:pPr>
    </w:p>
    <w:p w:rsidR="006A4426" w:rsidP="006A4426" w14:paraId="518DD177" w14:textId="48A9A3DD">
      <w:pPr>
        <w:spacing w:after="25" w:line="259" w:lineRule="auto"/>
        <w:ind w:left="0" w:right="0" w:firstLine="0"/>
        <w:rPr>
          <w:rFonts w:ascii="Arial" w:hAnsi="Arial" w:cs="Arial"/>
          <w:szCs w:val="24"/>
        </w:rPr>
      </w:pPr>
    </w:p>
    <w:p w:rsidR="006A4426" w:rsidP="006A4426" w14:paraId="2F0022C3" w14:textId="334265A3">
      <w:pPr>
        <w:spacing w:after="25" w:line="259" w:lineRule="auto"/>
        <w:ind w:left="0" w:right="0" w:firstLine="0"/>
        <w:rPr>
          <w:rFonts w:ascii="Arial" w:hAnsi="Arial" w:cs="Arial"/>
          <w:szCs w:val="24"/>
        </w:rPr>
      </w:pPr>
    </w:p>
    <w:p w:rsidR="006A4426" w:rsidP="006A4426" w14:paraId="1541ED0B" w14:textId="1D2F75C5">
      <w:pPr>
        <w:spacing w:after="25" w:line="259" w:lineRule="auto"/>
        <w:ind w:left="0" w:right="0" w:firstLine="0"/>
        <w:rPr>
          <w:rFonts w:ascii="Arial" w:hAnsi="Arial" w:cs="Arial"/>
          <w:szCs w:val="24"/>
        </w:rPr>
      </w:pPr>
    </w:p>
    <w:p w:rsidR="006A4426" w:rsidP="006A4426" w14:paraId="40C5D7F0" w14:textId="00F9F612">
      <w:pPr>
        <w:spacing w:after="25" w:line="259" w:lineRule="auto"/>
        <w:ind w:left="0" w:right="0" w:firstLine="0"/>
        <w:rPr>
          <w:rFonts w:ascii="Arial" w:hAnsi="Arial" w:cs="Arial"/>
          <w:szCs w:val="24"/>
        </w:rPr>
      </w:pPr>
    </w:p>
    <w:p w:rsidR="006A4426" w:rsidP="006A4426" w14:paraId="1061C8E3" w14:textId="126476B9">
      <w:pPr>
        <w:spacing w:after="25" w:line="259" w:lineRule="auto"/>
        <w:ind w:left="0" w:right="0" w:firstLine="0"/>
        <w:rPr>
          <w:rFonts w:ascii="Arial" w:hAnsi="Arial" w:cs="Arial"/>
          <w:szCs w:val="24"/>
        </w:rPr>
      </w:pPr>
    </w:p>
    <w:p w:rsidR="006A4426" w:rsidP="006A4426" w14:paraId="332B5669" w14:textId="209EC902">
      <w:pPr>
        <w:spacing w:after="25" w:line="259" w:lineRule="auto"/>
        <w:ind w:left="0" w:right="0" w:firstLine="0"/>
        <w:rPr>
          <w:rFonts w:ascii="Arial" w:hAnsi="Arial" w:cs="Arial"/>
          <w:szCs w:val="24"/>
        </w:rPr>
      </w:pPr>
    </w:p>
    <w:p w:rsidR="006A4426" w:rsidRPr="006A4426" w:rsidP="006A4426" w14:paraId="06921F2B" w14:textId="77777777">
      <w:pPr>
        <w:spacing w:after="25" w:line="259" w:lineRule="auto"/>
        <w:ind w:left="0" w:right="0" w:firstLine="0"/>
        <w:rPr>
          <w:rFonts w:ascii="Arial" w:hAnsi="Arial" w:cs="Arial"/>
          <w:szCs w:val="24"/>
        </w:rPr>
      </w:pPr>
    </w:p>
    <w:p w:rsidR="00290AAF" w14:paraId="517DE2E0" w14:textId="7C326DE6">
      <w:pPr>
        <w:numPr>
          <w:ilvl w:val="0"/>
          <w:numId w:val="1"/>
        </w:numPr>
        <w:ind w:right="5" w:hanging="360"/>
        <w:rPr>
          <w:rFonts w:ascii="Arial" w:hAnsi="Arial" w:cs="Arial"/>
          <w:szCs w:val="24"/>
        </w:rPr>
      </w:pPr>
      <w:r w:rsidRPr="006A4426">
        <w:rPr>
          <w:rFonts w:ascii="Arial" w:hAnsi="Arial" w:cs="Arial"/>
          <w:szCs w:val="24"/>
        </w:rPr>
        <w:t xml:space="preserve">As patient care continues to be affected by delays in communication from providers, a series of steps will be taken to prevent harm to patients.   </w:t>
      </w:r>
    </w:p>
    <w:p w:rsidR="006A4426" w:rsidP="006A4426" w14:paraId="0EBF6788" w14:textId="5FF37670">
      <w:pPr>
        <w:ind w:left="0" w:right="5" w:firstLine="0"/>
        <w:rPr>
          <w:rFonts w:ascii="Arial" w:hAnsi="Arial" w:cs="Arial"/>
          <w:szCs w:val="24"/>
        </w:rPr>
      </w:pPr>
    </w:p>
    <w:p w:rsidR="006A4426" w:rsidRPr="006A4426" w:rsidP="006A4426" w14:paraId="1A13A312" w14:textId="77777777">
      <w:pPr>
        <w:ind w:right="5"/>
        <w:rPr>
          <w:rFonts w:ascii="Arial" w:hAnsi="Arial" w:cs="Arial"/>
          <w:szCs w:val="24"/>
        </w:rPr>
      </w:pPr>
    </w:p>
    <w:tbl>
      <w:tblPr>
        <w:tblStyle w:val="TableGrid"/>
        <w:tblW w:w="10710" w:type="dxa"/>
        <w:tblInd w:w="361" w:type="dxa"/>
        <w:tblCellMar>
          <w:top w:w="48" w:type="dxa"/>
          <w:left w:w="107" w:type="dxa"/>
          <w:right w:w="81" w:type="dxa"/>
        </w:tblCellMar>
        <w:tblLook w:val="04A0"/>
      </w:tblPr>
      <w:tblGrid>
        <w:gridCol w:w="2880"/>
        <w:gridCol w:w="7830"/>
      </w:tblGrid>
      <w:tr w14:paraId="4F233B67" w14:textId="77777777">
        <w:tblPrEx>
          <w:tblW w:w="10710" w:type="dxa"/>
          <w:tblInd w:w="361" w:type="dxa"/>
          <w:tblLook w:val="04A0"/>
        </w:tblPrEx>
        <w:trPr>
          <w:trHeight w:val="540"/>
        </w:trPr>
        <w:tc>
          <w:tcPr>
            <w:tcW w:w="2880"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290AAF" w:rsidRPr="006A4426" w14:paraId="657585A9" w14:textId="77777777">
            <w:pPr>
              <w:spacing w:after="0" w:line="259" w:lineRule="auto"/>
              <w:ind w:left="0" w:right="0" w:firstLine="0"/>
              <w:rPr>
                <w:rFonts w:ascii="Arial" w:hAnsi="Arial" w:cs="Arial"/>
                <w:szCs w:val="24"/>
              </w:rPr>
            </w:pPr>
            <w:r w:rsidRPr="006A4426">
              <w:rPr>
                <w:rFonts w:ascii="Arial" w:hAnsi="Arial" w:cs="Arial"/>
                <w:b/>
                <w:szCs w:val="24"/>
              </w:rPr>
              <w:t xml:space="preserve">Timeframe </w:t>
            </w:r>
          </w:p>
        </w:tc>
        <w:tc>
          <w:tcPr>
            <w:tcW w:w="7830"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290AAF" w:rsidRPr="006A4426" w14:paraId="68959FE0" w14:textId="77777777">
            <w:pPr>
              <w:spacing w:after="0" w:line="259" w:lineRule="auto"/>
              <w:ind w:left="1" w:right="0" w:firstLine="0"/>
              <w:rPr>
                <w:rFonts w:ascii="Arial" w:hAnsi="Arial" w:cs="Arial"/>
                <w:szCs w:val="24"/>
              </w:rPr>
            </w:pPr>
            <w:r w:rsidRPr="006A4426">
              <w:rPr>
                <w:rFonts w:ascii="Arial" w:hAnsi="Arial" w:cs="Arial"/>
                <w:b/>
                <w:szCs w:val="24"/>
              </w:rPr>
              <w:t xml:space="preserve">Consequences </w:t>
            </w:r>
          </w:p>
        </w:tc>
      </w:tr>
      <w:tr w14:paraId="1D8E2175" w14:textId="77777777">
        <w:tblPrEx>
          <w:tblW w:w="10710" w:type="dxa"/>
          <w:tblInd w:w="361" w:type="dxa"/>
          <w:tblLook w:val="04A0"/>
        </w:tblPrEx>
        <w:trPr>
          <w:trHeight w:val="1501"/>
        </w:trPr>
        <w:tc>
          <w:tcPr>
            <w:tcW w:w="2880" w:type="dxa"/>
            <w:tcBorders>
              <w:top w:val="single" w:sz="4" w:space="0" w:color="000000"/>
              <w:left w:val="single" w:sz="4" w:space="0" w:color="000000"/>
              <w:bottom w:val="single" w:sz="4" w:space="0" w:color="000000"/>
              <w:right w:val="single" w:sz="4" w:space="0" w:color="000000"/>
            </w:tcBorders>
          </w:tcPr>
          <w:p w:rsidR="00290AAF" w:rsidRPr="006A4426" w:rsidP="006A4426" w14:paraId="15AAAEE5" w14:textId="77777777">
            <w:pPr>
              <w:spacing w:after="0" w:line="259" w:lineRule="auto"/>
              <w:ind w:left="0" w:right="0" w:firstLine="0"/>
              <w:rPr>
                <w:rFonts w:ascii="Arial" w:hAnsi="Arial" w:cs="Arial"/>
                <w:szCs w:val="24"/>
              </w:rPr>
            </w:pPr>
            <w:r w:rsidRPr="006A4426">
              <w:rPr>
                <w:rFonts w:ascii="Arial" w:hAnsi="Arial" w:cs="Arial"/>
                <w:szCs w:val="24"/>
              </w:rPr>
              <w:t xml:space="preserve">Open encounters not closed within 14 days </w:t>
            </w:r>
          </w:p>
        </w:tc>
        <w:tc>
          <w:tcPr>
            <w:tcW w:w="7830" w:type="dxa"/>
            <w:tcBorders>
              <w:top w:val="single" w:sz="4" w:space="0" w:color="000000"/>
              <w:left w:val="single" w:sz="4" w:space="0" w:color="000000"/>
              <w:bottom w:val="single" w:sz="4" w:space="0" w:color="000000"/>
              <w:right w:val="single" w:sz="4" w:space="0" w:color="000000"/>
            </w:tcBorders>
          </w:tcPr>
          <w:p w:rsidR="00290AAF" w:rsidRPr="006A4426" w14:paraId="50043DD0" w14:textId="77777777">
            <w:pPr>
              <w:numPr>
                <w:ilvl w:val="0"/>
                <w:numId w:val="3"/>
              </w:numPr>
              <w:spacing w:after="46" w:line="240" w:lineRule="auto"/>
              <w:ind w:right="0" w:hanging="360"/>
              <w:rPr>
                <w:rFonts w:ascii="Arial" w:hAnsi="Arial" w:cs="Arial"/>
                <w:szCs w:val="24"/>
              </w:rPr>
            </w:pPr>
            <w:r w:rsidRPr="006A4426">
              <w:rPr>
                <w:rFonts w:ascii="Arial" w:hAnsi="Arial" w:cs="Arial"/>
                <w:szCs w:val="24"/>
              </w:rPr>
              <w:t xml:space="preserve">Providers will be notified that they are to close their open encounters in the next seven (7) days </w:t>
            </w:r>
          </w:p>
          <w:p w:rsidR="00290AAF" w:rsidRPr="006A4426" w14:paraId="4DC43E5C" w14:textId="77777777">
            <w:pPr>
              <w:numPr>
                <w:ilvl w:val="0"/>
                <w:numId w:val="3"/>
              </w:numPr>
              <w:spacing w:after="0" w:line="239" w:lineRule="auto"/>
              <w:ind w:right="0" w:hanging="360"/>
              <w:rPr>
                <w:rFonts w:ascii="Arial" w:hAnsi="Arial" w:cs="Arial"/>
                <w:szCs w:val="24"/>
              </w:rPr>
            </w:pPr>
            <w:r w:rsidRPr="006A4426">
              <w:rPr>
                <w:rFonts w:ascii="Arial" w:hAnsi="Arial" w:cs="Arial"/>
                <w:szCs w:val="24"/>
              </w:rPr>
              <w:t>If there are circumstances that prevent the provider from closing their open encounters, then they should contact</w:t>
            </w:r>
            <w:r w:rsidRPr="006A4426">
              <w:rPr>
                <w:rFonts w:ascii="Arial" w:hAnsi="Arial" w:cs="Arial"/>
                <w:szCs w:val="24"/>
              </w:rPr>
              <w:t xml:space="preserve"> their department leadership and discuss potential solutions to address completing their medical records </w:t>
            </w:r>
          </w:p>
          <w:p w:rsidR="00290AAF" w:rsidRPr="006A4426" w14:paraId="7C993B8A" w14:textId="77777777">
            <w:pPr>
              <w:spacing w:after="0" w:line="259" w:lineRule="auto"/>
              <w:ind w:left="361" w:right="0" w:firstLine="0"/>
              <w:rPr>
                <w:rFonts w:ascii="Arial" w:hAnsi="Arial" w:cs="Arial"/>
                <w:szCs w:val="24"/>
              </w:rPr>
            </w:pPr>
            <w:r w:rsidRPr="006A4426">
              <w:rPr>
                <w:rFonts w:ascii="Arial" w:hAnsi="Arial" w:cs="Arial"/>
                <w:szCs w:val="24"/>
              </w:rPr>
              <w:t xml:space="preserve"> </w:t>
            </w:r>
          </w:p>
        </w:tc>
      </w:tr>
      <w:tr w14:paraId="5512345B" w14:textId="77777777">
        <w:tblPrEx>
          <w:tblW w:w="10710" w:type="dxa"/>
          <w:tblInd w:w="361" w:type="dxa"/>
          <w:tblLook w:val="04A0"/>
        </w:tblPrEx>
        <w:trPr>
          <w:trHeight w:val="1510"/>
        </w:trPr>
        <w:tc>
          <w:tcPr>
            <w:tcW w:w="2880" w:type="dxa"/>
            <w:tcBorders>
              <w:top w:val="single" w:sz="4" w:space="0" w:color="000000"/>
              <w:left w:val="single" w:sz="4" w:space="0" w:color="000000"/>
              <w:bottom w:val="single" w:sz="4" w:space="0" w:color="000000"/>
              <w:right w:val="single" w:sz="4" w:space="0" w:color="000000"/>
            </w:tcBorders>
          </w:tcPr>
          <w:p w:rsidR="00290AAF" w:rsidRPr="006A4426" w:rsidP="006A4426" w14:paraId="70A656F3" w14:textId="77777777">
            <w:pPr>
              <w:spacing w:after="0" w:line="259" w:lineRule="auto"/>
              <w:ind w:left="0" w:right="0" w:firstLine="0"/>
              <w:rPr>
                <w:rFonts w:ascii="Arial" w:hAnsi="Arial" w:cs="Arial"/>
                <w:szCs w:val="24"/>
              </w:rPr>
            </w:pPr>
            <w:r w:rsidRPr="006A4426">
              <w:rPr>
                <w:rFonts w:ascii="Arial" w:hAnsi="Arial" w:cs="Arial"/>
                <w:szCs w:val="24"/>
              </w:rPr>
              <w:t xml:space="preserve">Open encounters not closed within 21 days </w:t>
            </w:r>
          </w:p>
        </w:tc>
        <w:tc>
          <w:tcPr>
            <w:tcW w:w="7830" w:type="dxa"/>
            <w:tcBorders>
              <w:top w:val="single" w:sz="4" w:space="0" w:color="000000"/>
              <w:left w:val="single" w:sz="4" w:space="0" w:color="000000"/>
              <w:bottom w:val="single" w:sz="4" w:space="0" w:color="000000"/>
              <w:right w:val="single" w:sz="4" w:space="0" w:color="000000"/>
            </w:tcBorders>
          </w:tcPr>
          <w:p w:rsidR="00290AAF" w:rsidRPr="006A4426" w14:paraId="38629320" w14:textId="77777777">
            <w:pPr>
              <w:numPr>
                <w:ilvl w:val="0"/>
                <w:numId w:val="4"/>
              </w:numPr>
              <w:spacing w:after="0" w:line="259" w:lineRule="auto"/>
              <w:ind w:right="0" w:hanging="360"/>
              <w:rPr>
                <w:rFonts w:ascii="Arial" w:hAnsi="Arial" w:cs="Arial"/>
                <w:szCs w:val="24"/>
              </w:rPr>
            </w:pPr>
            <w:r w:rsidRPr="006A4426">
              <w:rPr>
                <w:rFonts w:ascii="Arial" w:hAnsi="Arial" w:cs="Arial"/>
                <w:szCs w:val="24"/>
              </w:rPr>
              <w:t xml:space="preserve">Providers will be relieved from non-critical clinical responsibilities* </w:t>
            </w:r>
          </w:p>
          <w:p w:rsidR="00290AAF" w:rsidRPr="006A4426" w14:paraId="38B30D5D" w14:textId="77777777">
            <w:pPr>
              <w:numPr>
                <w:ilvl w:val="0"/>
                <w:numId w:val="4"/>
              </w:numPr>
              <w:spacing w:after="46" w:line="240" w:lineRule="auto"/>
              <w:ind w:right="0" w:hanging="360"/>
              <w:rPr>
                <w:rFonts w:ascii="Arial" w:hAnsi="Arial" w:cs="Arial"/>
                <w:szCs w:val="24"/>
              </w:rPr>
            </w:pPr>
            <w:r w:rsidRPr="006A4426">
              <w:rPr>
                <w:rFonts w:ascii="Arial" w:hAnsi="Arial" w:cs="Arial"/>
                <w:szCs w:val="24"/>
              </w:rPr>
              <w:t xml:space="preserve">Providers may be ineligible for incentive compensation (if described in their compensation plan) </w:t>
            </w:r>
          </w:p>
          <w:p w:rsidR="00290AAF" w:rsidRPr="006A4426" w14:paraId="4814815A" w14:textId="77777777">
            <w:pPr>
              <w:numPr>
                <w:ilvl w:val="0"/>
                <w:numId w:val="4"/>
              </w:numPr>
              <w:spacing w:after="0" w:line="240" w:lineRule="auto"/>
              <w:ind w:right="0" w:hanging="360"/>
              <w:rPr>
                <w:rFonts w:ascii="Arial" w:hAnsi="Arial" w:cs="Arial"/>
                <w:szCs w:val="24"/>
              </w:rPr>
            </w:pPr>
            <w:r w:rsidRPr="006A4426">
              <w:rPr>
                <w:rFonts w:ascii="Arial" w:hAnsi="Arial" w:cs="Arial"/>
                <w:szCs w:val="24"/>
              </w:rPr>
              <w:t>A letter outlining this record of non-compliance may be placed in their department fa</w:t>
            </w:r>
            <w:r w:rsidRPr="006A4426">
              <w:rPr>
                <w:rFonts w:ascii="Arial" w:hAnsi="Arial" w:cs="Arial"/>
                <w:szCs w:val="24"/>
              </w:rPr>
              <w:t xml:space="preserve">culty/personnel file </w:t>
            </w:r>
          </w:p>
          <w:p w:rsidR="00290AAF" w:rsidRPr="006A4426" w14:paraId="55B327FF" w14:textId="77777777">
            <w:pPr>
              <w:spacing w:after="0" w:line="259" w:lineRule="auto"/>
              <w:ind w:left="361" w:right="0" w:firstLine="0"/>
              <w:rPr>
                <w:rFonts w:ascii="Arial" w:hAnsi="Arial" w:cs="Arial"/>
                <w:szCs w:val="24"/>
              </w:rPr>
            </w:pPr>
            <w:r w:rsidRPr="006A4426">
              <w:rPr>
                <w:rFonts w:ascii="Arial" w:hAnsi="Arial" w:cs="Arial"/>
                <w:szCs w:val="24"/>
              </w:rPr>
              <w:t xml:space="preserve"> </w:t>
            </w:r>
          </w:p>
        </w:tc>
      </w:tr>
      <w:tr w14:paraId="10B50753" w14:textId="77777777">
        <w:tblPrEx>
          <w:tblW w:w="10710" w:type="dxa"/>
          <w:tblInd w:w="361" w:type="dxa"/>
          <w:tblLook w:val="04A0"/>
        </w:tblPrEx>
        <w:trPr>
          <w:trHeight w:val="816"/>
        </w:trPr>
        <w:tc>
          <w:tcPr>
            <w:tcW w:w="2880" w:type="dxa"/>
            <w:tcBorders>
              <w:top w:val="single" w:sz="4" w:space="0" w:color="000000"/>
              <w:left w:val="single" w:sz="4" w:space="0" w:color="000000"/>
              <w:bottom w:val="single" w:sz="4" w:space="0" w:color="000000"/>
              <w:right w:val="single" w:sz="4" w:space="0" w:color="000000"/>
            </w:tcBorders>
          </w:tcPr>
          <w:p w:rsidR="00290AAF" w:rsidRPr="006A4426" w:rsidP="006A4426" w14:paraId="366F7547" w14:textId="77777777">
            <w:pPr>
              <w:spacing w:after="0" w:line="259" w:lineRule="auto"/>
              <w:ind w:left="0" w:right="0" w:firstLine="0"/>
              <w:rPr>
                <w:rFonts w:ascii="Arial" w:hAnsi="Arial" w:cs="Arial"/>
                <w:szCs w:val="24"/>
              </w:rPr>
            </w:pPr>
            <w:r w:rsidRPr="006A4426">
              <w:rPr>
                <w:rFonts w:ascii="Arial" w:hAnsi="Arial" w:cs="Arial"/>
                <w:szCs w:val="24"/>
              </w:rPr>
              <w:t xml:space="preserve">Repeated or ongoing inability to complete medical records within 21 days  </w:t>
            </w:r>
          </w:p>
        </w:tc>
        <w:tc>
          <w:tcPr>
            <w:tcW w:w="7830" w:type="dxa"/>
            <w:tcBorders>
              <w:top w:val="single" w:sz="4" w:space="0" w:color="000000"/>
              <w:left w:val="single" w:sz="4" w:space="0" w:color="000000"/>
              <w:bottom w:val="single" w:sz="4" w:space="0" w:color="000000"/>
              <w:right w:val="single" w:sz="4" w:space="0" w:color="000000"/>
            </w:tcBorders>
          </w:tcPr>
          <w:p w:rsidR="00290AAF" w:rsidRPr="006A4426" w14:paraId="6CF3060C" w14:textId="77777777">
            <w:pPr>
              <w:spacing w:after="0" w:line="240" w:lineRule="auto"/>
              <w:ind w:left="361" w:right="0" w:hanging="360"/>
              <w:rPr>
                <w:rFonts w:ascii="Arial" w:hAnsi="Arial" w:cs="Arial"/>
                <w:szCs w:val="24"/>
              </w:rPr>
            </w:pPr>
            <w:r w:rsidRPr="006A4426">
              <w:rPr>
                <w:rFonts w:ascii="Arial" w:eastAsia="Segoe UI Symbol" w:hAnsi="Arial" w:cs="Arial"/>
                <w:szCs w:val="24"/>
              </w:rPr>
              <w:t>•</w:t>
            </w:r>
            <w:r w:rsidRPr="006A4426">
              <w:rPr>
                <w:rFonts w:ascii="Arial" w:eastAsia="Arial" w:hAnsi="Arial" w:cs="Arial"/>
                <w:szCs w:val="24"/>
              </w:rPr>
              <w:t xml:space="preserve"> </w:t>
            </w:r>
            <w:r w:rsidRPr="006A4426">
              <w:rPr>
                <w:rFonts w:ascii="Arial" w:eastAsia="Arial" w:hAnsi="Arial" w:cs="Arial"/>
                <w:szCs w:val="24"/>
              </w:rPr>
              <w:tab/>
            </w:r>
            <w:r w:rsidRPr="006A4426">
              <w:rPr>
                <w:rFonts w:ascii="Arial" w:hAnsi="Arial" w:cs="Arial"/>
                <w:szCs w:val="24"/>
              </w:rPr>
              <w:t xml:space="preserve">Further measures, such as suspension without compensation, may be taken, up to and including termination in certain circumstances** </w:t>
            </w:r>
          </w:p>
          <w:p w:rsidR="00290AAF" w:rsidRPr="006A4426" w14:paraId="423BF1B8" w14:textId="77777777">
            <w:pPr>
              <w:spacing w:after="0" w:line="259" w:lineRule="auto"/>
              <w:ind w:left="1" w:right="0" w:firstLine="0"/>
              <w:rPr>
                <w:rFonts w:ascii="Arial" w:hAnsi="Arial" w:cs="Arial"/>
                <w:szCs w:val="24"/>
              </w:rPr>
            </w:pPr>
            <w:r w:rsidRPr="006A4426">
              <w:rPr>
                <w:rFonts w:ascii="Arial" w:hAnsi="Arial" w:cs="Arial"/>
                <w:szCs w:val="24"/>
              </w:rPr>
              <w:t xml:space="preserve"> </w:t>
            </w:r>
          </w:p>
        </w:tc>
      </w:tr>
    </w:tbl>
    <w:p w:rsidR="00290AAF" w:rsidRPr="006A4426" w14:paraId="0BE6A8B6" w14:textId="77777777">
      <w:pPr>
        <w:spacing w:after="86" w:line="259" w:lineRule="auto"/>
        <w:ind w:left="360" w:right="0" w:firstLine="0"/>
        <w:rPr>
          <w:rFonts w:ascii="Arial" w:hAnsi="Arial" w:cs="Arial"/>
          <w:szCs w:val="24"/>
        </w:rPr>
      </w:pPr>
      <w:r w:rsidRPr="006A4426">
        <w:rPr>
          <w:rFonts w:ascii="Arial" w:hAnsi="Arial" w:cs="Arial"/>
          <w:szCs w:val="24"/>
        </w:rPr>
        <w:t xml:space="preserve"> </w:t>
      </w:r>
    </w:p>
    <w:p w:rsidR="00290AAF" w:rsidRPr="006A4426" w14:paraId="2AE31261" w14:textId="77777777">
      <w:pPr>
        <w:spacing w:after="1" w:line="240" w:lineRule="auto"/>
        <w:ind w:left="355" w:right="0"/>
        <w:rPr>
          <w:rFonts w:ascii="Arial" w:hAnsi="Arial" w:cs="Arial"/>
          <w:szCs w:val="24"/>
        </w:rPr>
      </w:pPr>
      <w:r w:rsidRPr="006A4426">
        <w:rPr>
          <w:rFonts w:ascii="Arial" w:hAnsi="Arial" w:cs="Arial"/>
          <w:szCs w:val="24"/>
        </w:rPr>
        <w:t xml:space="preserve">*Providers will still be expected to maintain on-call responsibilities and inpatient service attending responsibilities if relieved from non-critical responsibilities. </w:t>
      </w:r>
    </w:p>
    <w:p w:rsidR="00290AAF" w:rsidRPr="006A4426" w14:paraId="6444D8EB" w14:textId="77777777">
      <w:pPr>
        <w:spacing w:after="549" w:line="240" w:lineRule="auto"/>
        <w:ind w:left="355" w:right="0"/>
        <w:rPr>
          <w:rFonts w:ascii="Arial" w:hAnsi="Arial" w:cs="Arial"/>
          <w:szCs w:val="24"/>
        </w:rPr>
      </w:pPr>
      <w:r w:rsidRPr="006A4426">
        <w:rPr>
          <w:rFonts w:ascii="Arial" w:hAnsi="Arial" w:cs="Arial"/>
          <w:szCs w:val="24"/>
        </w:rPr>
        <w:t xml:space="preserve">**Such actions will be decided by the Department Chair, the Office of General Counsel, </w:t>
      </w:r>
      <w:r w:rsidRPr="006A4426">
        <w:rPr>
          <w:rFonts w:ascii="Arial" w:hAnsi="Arial" w:cs="Arial"/>
          <w:szCs w:val="24"/>
        </w:rPr>
        <w:t xml:space="preserve">and the Office of the Yale Medicine/Yale New Haven Health Chief Ambulatory Medical Officer. </w:t>
      </w:r>
    </w:p>
    <w:p w:rsidR="00290AAF" w:rsidRPr="006A4426" w14:paraId="63C34662" w14:textId="77777777">
      <w:pPr>
        <w:spacing w:after="0" w:line="259" w:lineRule="auto"/>
        <w:ind w:left="0" w:right="0" w:firstLine="0"/>
        <w:rPr>
          <w:rFonts w:ascii="Arial" w:hAnsi="Arial" w:cs="Arial"/>
          <w:szCs w:val="24"/>
        </w:rPr>
      </w:pPr>
      <w:r w:rsidRPr="006A4426">
        <w:rPr>
          <w:rFonts w:ascii="Arial" w:hAnsi="Arial" w:cs="Arial"/>
          <w:b/>
          <w:szCs w:val="24"/>
        </w:rPr>
        <w:t xml:space="preserve">Appendix: Potential Solutions to Address Completing Medical Records </w:t>
      </w:r>
    </w:p>
    <w:p w:rsidR="00290AAF" w:rsidRPr="006A4426" w14:paraId="55701B8E" w14:textId="77777777">
      <w:pPr>
        <w:spacing w:after="0" w:line="259" w:lineRule="auto"/>
        <w:ind w:left="0" w:right="0" w:firstLine="0"/>
        <w:rPr>
          <w:rFonts w:ascii="Arial" w:hAnsi="Arial" w:cs="Arial"/>
          <w:szCs w:val="24"/>
        </w:rPr>
      </w:pPr>
      <w:r w:rsidRPr="006A4426">
        <w:rPr>
          <w:rFonts w:ascii="Arial" w:hAnsi="Arial" w:cs="Arial"/>
          <w:b/>
          <w:szCs w:val="24"/>
        </w:rPr>
        <w:t xml:space="preserve"> </w:t>
      </w:r>
    </w:p>
    <w:p w:rsidR="00290AAF" w:rsidRPr="006A4426" w14:paraId="48DDFD63" w14:textId="77777777">
      <w:pPr>
        <w:ind w:left="-5" w:right="5"/>
        <w:rPr>
          <w:rFonts w:ascii="Arial" w:hAnsi="Arial" w:cs="Arial"/>
          <w:szCs w:val="24"/>
        </w:rPr>
      </w:pPr>
      <w:r w:rsidRPr="006A4426">
        <w:rPr>
          <w:rFonts w:ascii="Arial" w:hAnsi="Arial" w:cs="Arial"/>
          <w:szCs w:val="24"/>
        </w:rPr>
        <w:t>The list below offers some suggestions for individual providers to discuss with their department or section leadership about completing medical records. It is not intended to be an exha</w:t>
      </w:r>
      <w:r w:rsidRPr="006A4426">
        <w:rPr>
          <w:rFonts w:ascii="Arial" w:hAnsi="Arial" w:cs="Arial"/>
          <w:szCs w:val="24"/>
        </w:rPr>
        <w:t xml:space="preserve">ustive list, but rather one to stimulate discussion.  </w:t>
      </w:r>
    </w:p>
    <w:p w:rsidR="00290AAF" w:rsidRPr="006A4426" w14:paraId="074EA0E6" w14:textId="77777777">
      <w:pPr>
        <w:spacing w:after="25" w:line="259" w:lineRule="auto"/>
        <w:ind w:left="0" w:right="0" w:firstLine="0"/>
        <w:rPr>
          <w:rFonts w:ascii="Arial" w:hAnsi="Arial" w:cs="Arial"/>
          <w:szCs w:val="24"/>
        </w:rPr>
      </w:pPr>
      <w:r w:rsidRPr="006A4426">
        <w:rPr>
          <w:rFonts w:ascii="Arial" w:hAnsi="Arial" w:cs="Arial"/>
          <w:szCs w:val="24"/>
        </w:rPr>
        <w:t xml:space="preserve"> </w:t>
      </w:r>
    </w:p>
    <w:p w:rsidR="00290AAF" w:rsidRPr="006A4426" w14:paraId="6E7F5A8A" w14:textId="77777777">
      <w:pPr>
        <w:numPr>
          <w:ilvl w:val="0"/>
          <w:numId w:val="2"/>
        </w:numPr>
        <w:ind w:right="5" w:hanging="360"/>
        <w:rPr>
          <w:rFonts w:ascii="Arial" w:hAnsi="Arial" w:cs="Arial"/>
          <w:szCs w:val="24"/>
        </w:rPr>
      </w:pPr>
      <w:r w:rsidRPr="006A4426">
        <w:rPr>
          <w:rFonts w:ascii="Arial" w:hAnsi="Arial" w:cs="Arial"/>
          <w:szCs w:val="24"/>
        </w:rPr>
        <w:t xml:space="preserve">Peer coaching from colleagues who </w:t>
      </w:r>
      <w:r w:rsidRPr="006A4426">
        <w:rPr>
          <w:rFonts w:ascii="Arial" w:hAnsi="Arial" w:cs="Arial"/>
          <w:szCs w:val="24"/>
        </w:rPr>
        <w:t>are able to</w:t>
      </w:r>
      <w:r w:rsidRPr="006A4426">
        <w:rPr>
          <w:rFonts w:ascii="Arial" w:hAnsi="Arial" w:cs="Arial"/>
          <w:szCs w:val="24"/>
        </w:rPr>
        <w:t xml:space="preserve"> complete their documentation promptly </w:t>
      </w:r>
    </w:p>
    <w:p w:rsidR="00290AAF" w:rsidRPr="006A4426" w14:paraId="26C148CF" w14:textId="77777777">
      <w:pPr>
        <w:numPr>
          <w:ilvl w:val="0"/>
          <w:numId w:val="2"/>
        </w:numPr>
        <w:ind w:right="5" w:hanging="360"/>
        <w:rPr>
          <w:rFonts w:ascii="Arial" w:hAnsi="Arial" w:cs="Arial"/>
          <w:szCs w:val="24"/>
        </w:rPr>
      </w:pPr>
      <w:r w:rsidRPr="006A4426">
        <w:rPr>
          <w:rFonts w:ascii="Arial" w:hAnsi="Arial" w:cs="Arial"/>
          <w:szCs w:val="24"/>
        </w:rPr>
        <w:t xml:space="preserve">EMR instruction to improve skills that ease the burden of utilization </w:t>
      </w:r>
    </w:p>
    <w:p w:rsidR="00290AAF" w:rsidRPr="006A4426" w14:paraId="6012FD98" w14:textId="77777777">
      <w:pPr>
        <w:numPr>
          <w:ilvl w:val="0"/>
          <w:numId w:val="2"/>
        </w:numPr>
        <w:ind w:right="5" w:hanging="360"/>
        <w:rPr>
          <w:rFonts w:ascii="Arial" w:hAnsi="Arial" w:cs="Arial"/>
          <w:szCs w:val="24"/>
        </w:rPr>
      </w:pPr>
      <w:r w:rsidRPr="006A4426">
        <w:rPr>
          <w:rFonts w:ascii="Arial" w:hAnsi="Arial" w:cs="Arial"/>
          <w:szCs w:val="24"/>
        </w:rPr>
        <w:t>Individual coaching for time management and</w:t>
      </w:r>
      <w:r w:rsidRPr="006A4426">
        <w:rPr>
          <w:rFonts w:ascii="Arial" w:hAnsi="Arial" w:cs="Arial"/>
          <w:szCs w:val="24"/>
        </w:rPr>
        <w:t xml:space="preserve"> efficiency </w:t>
      </w:r>
    </w:p>
    <w:p w:rsidR="00290AAF" w:rsidRPr="006A4426" w14:paraId="5397AC99" w14:textId="77777777">
      <w:pPr>
        <w:numPr>
          <w:ilvl w:val="0"/>
          <w:numId w:val="2"/>
        </w:numPr>
        <w:ind w:right="5" w:hanging="360"/>
        <w:rPr>
          <w:rFonts w:ascii="Arial" w:hAnsi="Arial" w:cs="Arial"/>
          <w:szCs w:val="24"/>
        </w:rPr>
      </w:pPr>
      <w:r w:rsidRPr="006A4426">
        <w:rPr>
          <w:rFonts w:ascii="Arial" w:hAnsi="Arial" w:cs="Arial"/>
          <w:szCs w:val="24"/>
        </w:rPr>
        <w:t xml:space="preserve">Utilization of voice recognition </w:t>
      </w:r>
    </w:p>
    <w:p w:rsidR="00290AAF" w:rsidRPr="006A4426" w14:paraId="7CC55780" w14:textId="77777777">
      <w:pPr>
        <w:numPr>
          <w:ilvl w:val="0"/>
          <w:numId w:val="2"/>
        </w:numPr>
        <w:ind w:right="5" w:hanging="360"/>
        <w:rPr>
          <w:rFonts w:ascii="Arial" w:hAnsi="Arial" w:cs="Arial"/>
          <w:szCs w:val="24"/>
        </w:rPr>
      </w:pPr>
      <w:r w:rsidRPr="006A4426">
        <w:rPr>
          <w:rFonts w:ascii="Arial" w:hAnsi="Arial" w:cs="Arial"/>
          <w:szCs w:val="24"/>
        </w:rPr>
        <w:t xml:space="preserve">Virtual scribes </w:t>
      </w:r>
    </w:p>
    <w:p w:rsidR="00290AAF" w:rsidRPr="006A4426" w:rsidP="006A4426" w14:paraId="6BEF188A" w14:textId="2B74977F">
      <w:pPr>
        <w:numPr>
          <w:ilvl w:val="0"/>
          <w:numId w:val="2"/>
        </w:numPr>
        <w:ind w:right="5" w:hanging="360"/>
        <w:rPr>
          <w:rFonts w:ascii="Arial" w:hAnsi="Arial" w:cs="Arial"/>
          <w:szCs w:val="24"/>
        </w:rPr>
      </w:pPr>
      <w:r w:rsidRPr="006A4426">
        <w:rPr>
          <w:rFonts w:ascii="Arial" w:hAnsi="Arial" w:cs="Arial"/>
          <w:szCs w:val="24"/>
        </w:rPr>
        <w:t xml:space="preserve">Ancillary support, although this may not be readily available and remains service-line dependent </w:t>
      </w:r>
      <w:r w:rsidRPr="006A4426">
        <w:rPr>
          <w:rFonts w:ascii="Arial" w:eastAsia="Segoe UI Symbol" w:hAnsi="Arial" w:cs="Arial"/>
          <w:szCs w:val="24"/>
        </w:rPr>
        <w:t>•</w:t>
      </w:r>
      <w:r w:rsidRPr="006A4426">
        <w:rPr>
          <w:rFonts w:ascii="Arial" w:eastAsia="Arial" w:hAnsi="Arial" w:cs="Arial"/>
          <w:szCs w:val="24"/>
        </w:rPr>
        <w:t xml:space="preserve"> </w:t>
      </w:r>
      <w:r w:rsidRPr="006A4426">
        <w:rPr>
          <w:rFonts w:ascii="Arial" w:hAnsi="Arial" w:cs="Arial"/>
          <w:szCs w:val="24"/>
        </w:rPr>
        <w:t xml:space="preserve">Adjusting current patient volumes, and voluntarily agreeing to lower patient load </w:t>
      </w:r>
    </w:p>
    <w:sectPr>
      <w:headerReference w:type="even" r:id="rId6"/>
      <w:headerReference w:type="default" r:id="rId7"/>
      <w:footerReference w:type="default" r:id="rId8"/>
      <w:headerReference w:type="first" r:id="rId9"/>
      <w:footerReference w:type="first" r:id="rId10"/>
      <w:pgSz w:w="12240" w:h="15840"/>
      <w:pgMar w:top="570" w:right="668" w:bottom="719"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1769616900"/>
          <w:docPartObj>
            <w:docPartGallery w:val="Page Numbers (Top of Page)"/>
            <w:docPartUnique/>
          </w:docPartObj>
        </w:sdtPr>
        <w:sdtContent>
          <w:p w:rsidR="00EF6513" w:rsidRPr="00B677B9" w:rsidP="006A4426" w14:paraId="6DACC586" w14:textId="27DC27DF">
            <w:pPr>
              <w:tabs>
                <w:tab w:val="left" w:pos="3315"/>
                <w:tab w:val="center" w:pos="4320"/>
                <w:tab w:val="right" w:pos="8640"/>
                <w:tab w:val="right" w:pos="9360"/>
              </w:tabs>
              <w:spacing w:before="240" w:after="240" w:line="240" w:lineRule="auto"/>
              <w:ind w:left="0" w:righ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2</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2</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E30B82" w:rsidP="00E30B82" w14:paraId="6455F99A" w14:textId="37A6E6F8">
    <w:pPr>
      <w:pStyle w:val="Footer"/>
      <w:tabs>
        <w:tab w:val="clear" w:pos="4320"/>
        <w:tab w:val="left" w:pos="8220"/>
        <w:tab w:val="clear" w:pos="864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DF5" w14:paraId="4433709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DF5" w14:paraId="044785F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righ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righ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righ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Ambulatory Medical Record Completion -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righ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righ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righ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02B24661">
    <w:pPr>
      <w:spacing w:before="240" w:after="240" w:line="240" w:lineRule="auto"/>
      <w:ind w:left="0" w:righ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righ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righ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03/01/2020</w:t>
    </w:r>
    <w:r w:rsidRPr="00825DBD">
      <w:rPr>
        <w:rFonts w:ascii="Arial" w:eastAsia="Times New Roman" w:hAnsi="Arial" w:cs="Times New Roman"/>
        <w:color w:val="auto"/>
        <w:sz w:val="20"/>
        <w:szCs w:val="20"/>
      </w:rPr>
      <w:fldChar w:fldCharType="end"/>
    </w:r>
  </w:p>
  <w:p w:rsidR="00865A6F" w:rsidRPr="00825DBD" w:rsidP="00865A6F" w14:paraId="3B1F73B8" w14:textId="7352F7BD">
    <w:pPr>
      <w:spacing w:before="240" w:after="240" w:line="240" w:lineRule="auto"/>
      <w:ind w:left="0" w:righ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11/01/2020</w:t>
    </w:r>
  </w:p>
  <w:p w:rsidR="002822D2" w:rsidRPr="00865A6F" w:rsidP="00865A6F" w14:paraId="688FB459" w14:textId="09B51B46">
    <w:pPr>
      <w:spacing w:before="240" w:after="240" w:line="240" w:lineRule="auto"/>
      <w:ind w:left="0" w:righ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11/01/2020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B555ACB"/>
    <w:multiLevelType w:val="hybridMultilevel"/>
    <w:tmpl w:val="B5A63CDC"/>
    <w:lvl w:ilvl="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3B7175"/>
    <w:multiLevelType w:val="hybridMultilevel"/>
    <w:tmpl w:val="ADE0D6F6"/>
    <w:lvl w:ilvl="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3E4A77"/>
    <w:multiLevelType w:val="hybridMultilevel"/>
    <w:tmpl w:val="1AD60D9A"/>
    <w:lvl w:ilvl="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1C1534D"/>
    <w:multiLevelType w:val="hybridMultilevel"/>
    <w:tmpl w:val="6FF235D6"/>
    <w:lvl w:ilvl="0">
      <w:start w:val="1"/>
      <w:numFmt w:val="upperLetter"/>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1800997229">
    <w:abstractNumId w:val="3"/>
  </w:num>
  <w:num w:numId="2" w16cid:durableId="937756425">
    <w:abstractNumId w:val="1"/>
  </w:num>
  <w:num w:numId="3" w16cid:durableId="430123697">
    <w:abstractNumId w:val="0"/>
  </w:num>
  <w:num w:numId="4" w16cid:durableId="1267998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AF"/>
    <w:rsid w:val="000F1533"/>
    <w:rsid w:val="001B317C"/>
    <w:rsid w:val="001F0B6A"/>
    <w:rsid w:val="002822D2"/>
    <w:rsid w:val="00290AAF"/>
    <w:rsid w:val="00323EFC"/>
    <w:rsid w:val="004776A6"/>
    <w:rsid w:val="006A4426"/>
    <w:rsid w:val="00733DF5"/>
    <w:rsid w:val="00825DBD"/>
    <w:rsid w:val="00865A6F"/>
    <w:rsid w:val="00A54028"/>
    <w:rsid w:val="00B677B9"/>
    <w:rsid w:val="00B7672E"/>
    <w:rsid w:val="00DB7F91"/>
    <w:rsid w:val="00E30B82"/>
    <w:rsid w:val="00EF6513"/>
  </w:rsids>
  <w:docVars>
    <w:docVar w:name="AP Job Title" w:val="YM Practice Standard Committee"/>
    <w:docVar w:name="AP_Job_Title" w:val="YM Practice Standard Committee"/>
    <w:docVar w:name="Date Approved" w:val="Not Set"/>
    <w:docVar w:name="Document Title" w:val="Ambulatory Medical Record Completion Guidelines Policy"/>
    <w:docVar w:name="Document_Title" w:val="Ambulatory Medical Record Completion - Policy"/>
    <w:docVar w:name="Last Periodic Review Date" w:val="Not Set"/>
    <w:docVar w:name="Original Creation Date" w:val="03/01/2020"/>
    <w:docVar w:name="Original_Creation_Date" w:val="03/01/2020"/>
    <w:docVar w:name="PO Both" w:val="Julianna Maisano"/>
    <w:docVar w:name="PO_Both" w:val="Emily Kiesel (Project Manager, ACE)"/>
    <w:docVar w:name="WR Both" w:val="Julianna Maisano"/>
    <w:docVar w:name="WR Department" w:val="YM Practice Standard Committee"/>
    <w:docVar w:name="WR_Department" w:val="MEDYMA YM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20A50E"/>
  <w15:docId w15:val="{16089EF9-ED7C-4374-9C7A-D6C10BF4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right="159"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rsid w:val="003D271F"/>
    <w:pPr>
      <w:tabs>
        <w:tab w:val="center" w:pos="4320"/>
        <w:tab w:val="right" w:pos="8640"/>
      </w:tabs>
      <w:spacing w:before="240" w:after="240" w:line="240" w:lineRule="auto"/>
      <w:ind w:left="0" w:right="0" w:firstLine="0"/>
      <w:contextualSpacing/>
    </w:pPr>
    <w:rPr>
      <w:rFonts w:ascii="Arial" w:eastAsia="Times New Roman" w:hAnsi="Arial" w:cs="Times New Roman"/>
      <w:color w:val="auto"/>
      <w:sz w:val="20"/>
      <w:szCs w:val="20"/>
    </w:rPr>
  </w:style>
  <w:style w:type="character" w:customStyle="1" w:styleId="FooterChar">
    <w:name w:val="Footer Char"/>
    <w:basedOn w:val="DefaultParagraphFont"/>
    <w:link w:val="Footer"/>
    <w:uiPriority w:val="99"/>
    <w:rsid w:val="00323EFC"/>
    <w:rPr>
      <w:rFonts w:ascii="Arial" w:eastAsia="Times New Roman" w:hAnsi="Arial" w:cs="Times New Roman"/>
      <w:sz w:val="20"/>
      <w:szCs w:val="20"/>
    </w:rPr>
  </w:style>
  <w:style w:type="paragraph" w:styleId="Header">
    <w:name w:val="header"/>
    <w:basedOn w:val="Normal"/>
    <w:link w:val="HeaderChar"/>
    <w:rsid w:val="003D271F"/>
    <w:pPr>
      <w:tabs>
        <w:tab w:val="center" w:pos="4320"/>
        <w:tab w:val="right" w:pos="8640"/>
      </w:tabs>
      <w:spacing w:before="240" w:after="240" w:line="240" w:lineRule="auto"/>
      <w:ind w:left="0" w:right="0" w:firstLine="0"/>
      <w:contextualSpacing/>
    </w:pPr>
    <w:rPr>
      <w:rFonts w:ascii="Arial" w:eastAsia="Times New Roman" w:hAnsi="Arial" w:cs="Times New Roman"/>
      <w:color w:val="auto"/>
      <w:sz w:val="20"/>
      <w:szCs w:val="20"/>
    </w:rPr>
  </w:style>
  <w:style w:type="character" w:customStyle="1" w:styleId="HeaderChar">
    <w:name w:val="Header Char"/>
    <w:basedOn w:val="DefaultParagraphFont"/>
    <w:link w:val="Header"/>
    <w:rsid w:val="00865A6F"/>
    <w:rPr>
      <w:rFonts w:ascii="Arial" w:eastAsia="Times New Roman" w:hAnsi="Arial" w:cs="Times New Roman"/>
      <w:sz w:val="20"/>
      <w:szCs w:val="20"/>
    </w:rPr>
  </w:style>
  <w:style w:type="paragraph" w:styleId="ListParagraph">
    <w:name w:val="List Paragraph"/>
    <w:basedOn w:val="Normal"/>
    <w:uiPriority w:val="34"/>
    <w:qFormat/>
    <w:rsid w:val="006A44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dicine.yale.edu/ymadmin/practicestandards/" TargetMode="External" /><Relationship Id="rId5" Type="http://schemas.openxmlformats.org/officeDocument/2006/relationships/hyperlink" Target="https://medicine.yale.edu/ymadmin/practicestandards/"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576</Words>
  <Characters>3288</Characters>
  <Application>Microsoft Office Word</Application>
  <DocSecurity>0</DocSecurity>
  <Lines>27</Lines>
  <Paragraphs>7</Paragraphs>
  <ScaleCrop>false</ScaleCrop>
  <Company/>
  <LinksUpToDate>false</LinksUpToDate>
  <CharactersWithSpaces>3857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Crawford, Tobias</dc:creator>
  <lastModifiedBy>Maisano, Julianna</lastModifiedBy>
  <revision>3</revision>
  <dcterms:created xsi:type="dcterms:W3CDTF">2023-01-20T19:59:00.0000000Z</dcterms:created>
  <dcterms:modified xsi:type="dcterms:W3CDTF">2023-03-20T23:13:00.0000000Z</dcterms:modified>
  <dc:title>Ambulatory Medical Record Completion - Policy</dc:title>
</coreProperties>
</file>