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3976B66" w14:textId="77777777">
      <w:pPr>
        <w:pStyle w:val="SectionHeading"/>
        <w:rPr>
          <w:color w:val="17365D" w:themeColor="text2" w:themeShade="BF"/>
        </w:rPr>
      </w:pPr>
      <w:r w:rsidRPr="00EC53A3">
        <w:rPr>
          <w:color w:val="17365D" w:themeColor="text2" w:themeShade="BF"/>
        </w:rPr>
        <w:t>Scope</w:t>
      </w:r>
    </w:p>
    <w:p w:rsidR="00561074" w:rsidRPr="00EC53A3" w:rsidP="00DE15D9" w14:paraId="13001321" w14:textId="123CA7A5">
      <w:r>
        <w:t>This document establishes the procedure to be followed by the Yale School of Medicine’s (YSM) Controller’s Office (YSMCO) and YSM department business offices (DBOs) regarding quarterly financial statement analysis on actual balances and results as compared to prior periods. While this document specifically covers procedures performed through the YSMCO, this process incorporates information from variance explanations provided to the YSM Financial Planning &amp; Analysis team.</w:t>
      </w:r>
    </w:p>
    <w:p w:rsidR="007D39A2" w:rsidRPr="00EC53A3" w:rsidP="00003662" w14:paraId="04EAA232" w14:textId="77777777">
      <w:pPr>
        <w:pStyle w:val="SectionHeading"/>
        <w:rPr>
          <w:color w:val="17365D" w:themeColor="text2" w:themeShade="BF"/>
        </w:rPr>
      </w:pPr>
      <w:r>
        <w:rPr>
          <w:color w:val="17365D" w:themeColor="text2" w:themeShade="BF"/>
        </w:rPr>
        <w:t>Procedure Purpose</w:t>
      </w:r>
    </w:p>
    <w:p w:rsidR="00ED0249" w:rsidRPr="00EC53A3" w:rsidP="00EB5783" w14:paraId="385D1D66" w14:textId="5ABE4E17">
      <w:pPr>
        <w:tabs>
          <w:tab w:val="left" w:pos="6645"/>
        </w:tabs>
      </w:pPr>
      <w:r w:rsidRPr="00E416CC">
        <w:t>The purpose of this procedure is to document the requirements of the YSMCO to report and analyze the actual financial balances and results of YSM each quarter to the</w:t>
      </w:r>
      <w:r>
        <w:t xml:space="preserve"> Yale</w:t>
      </w:r>
      <w:r w:rsidRPr="00E416CC">
        <w:t xml:space="preserve"> University</w:t>
      </w:r>
      <w:r>
        <w:t xml:space="preserve"> (the University)</w:t>
      </w:r>
      <w:r w:rsidRPr="00E416CC">
        <w:t xml:space="preserve"> Controller’s Office and the role of the YSM DBOs as they relate to that process.</w:t>
      </w:r>
      <w:r w:rsidR="00EB5783">
        <w:tab/>
      </w:r>
    </w:p>
    <w:p w:rsidR="00271F83" w:rsidRPr="00EC53A3" w:rsidP="00003662" w14:paraId="673DA599" w14:textId="77777777">
      <w:pPr>
        <w:pStyle w:val="SectionHeading"/>
        <w:rPr>
          <w:color w:val="17365D" w:themeColor="text2" w:themeShade="BF"/>
        </w:rPr>
      </w:pPr>
      <w:r w:rsidRPr="00EC53A3">
        <w:rPr>
          <w:color w:val="17365D" w:themeColor="text2" w:themeShade="BF"/>
        </w:rPr>
        <w:t>Definitions</w:t>
      </w:r>
    </w:p>
    <w:p w:rsidR="007D358A" w:rsidP="007D358A" w14:paraId="4306CCBA" w14:textId="0F1F03A7">
      <w:pPr>
        <w:rPr>
          <w:b/>
        </w:rPr>
      </w:pPr>
      <w:bookmarkStart w:id="0" w:name="_Toc425171621"/>
      <w:r>
        <w:rPr>
          <w:b/>
        </w:rPr>
        <w:t>Not applicable</w:t>
      </w:r>
    </w:p>
    <w:p w:rsidR="007D358A" w:rsidP="007D358A" w14:paraId="5D612E0A" w14:textId="77777777">
      <w:pPr>
        <w:rPr>
          <w:b/>
        </w:rPr>
      </w:pPr>
    </w:p>
    <w:p w:rsidR="001B7499" w:rsidRPr="00EC53A3" w:rsidP="00003662" w14:paraId="43ACD4C9" w14:textId="77777777">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586BF477" w14:textId="5BE2A1E9">
      <w:pPr>
        <w:pStyle w:val="1-PolicySectionlevel"/>
      </w:pPr>
      <w:r>
        <w:t>Background</w:t>
      </w:r>
    </w:p>
    <w:p w:rsidR="001D1F77" w:rsidRPr="001D1F77" w:rsidP="001D1F77" w14:paraId="408E6414" w14:textId="2CD6F53A">
      <w:bookmarkStart w:id="4" w:name="_Toc425171623"/>
      <w:r w:rsidRPr="00E416CC">
        <w:t>There are a number of reasons why periodic financial reporting and analysis is necessary, including but not limited to, adherence to University policies and procedures, contributing to a sound internal controls environment, and supporting the University’s external annual financial statement audit and any other audits that may occur.</w:t>
      </w:r>
    </w:p>
    <w:p w:rsidR="00E416CC" w:rsidRPr="00E416CC" w:rsidP="00E416CC" w14:paraId="325B0B17" w14:textId="77777777">
      <w:pPr>
        <w:pStyle w:val="2-PolicySectionLevel"/>
      </w:pPr>
      <w:r w:rsidRPr="00E416CC">
        <w:t>Policy 1101 Guiding Principles for University Operations</w:t>
      </w:r>
    </w:p>
    <w:p w:rsidR="00E416CC" w:rsidP="00E416CC" w14:paraId="66D470CF" w14:textId="77777777">
      <w:pPr>
        <w:pStyle w:val="3-PolicySectionLevel"/>
      </w:pPr>
      <w:hyperlink r:id="rId10" w:history="1">
        <w:r w:rsidRPr="00985CB9">
          <w:rPr>
            <w:rStyle w:val="Hyperlink"/>
          </w:rPr>
          <w:t>Policy 1101</w:t>
        </w:r>
      </w:hyperlink>
      <w:r w:rsidR="00694F68">
        <w:t xml:space="preserve"> reiterates the need for accountability, a cornerstone of a strong internal control environment. Though individual accountability may be enforced through various means, reporting and analysis of actual financial balances and results is an effective method for a DBO in uncovering unusual or unexpected trends, weaknesses in controls, and / or possible material errors / misuse of University funds. </w:t>
      </w:r>
    </w:p>
    <w:p w:rsidR="00E416CC" w:rsidRPr="00E416CC" w:rsidP="00E416CC" w14:paraId="7EEB1536" w14:textId="77777777">
      <w:pPr>
        <w:pStyle w:val="2-PolicySectionLevel"/>
      </w:pPr>
      <w:r w:rsidRPr="00E416CC">
        <w:t xml:space="preserve">Financial Review Checklist (FRC)  </w:t>
      </w:r>
    </w:p>
    <w:p w:rsidR="00E416CC" w:rsidP="00E416CC" w14:paraId="65BE5667" w14:textId="77777777">
      <w:pPr>
        <w:pStyle w:val="3-PolicySectionLevel"/>
      </w:pPr>
      <w:hyperlink r:id="rId11" w:history="1">
        <w:r w:rsidRPr="00985CB9">
          <w:rPr>
            <w:rStyle w:val="Hyperlink"/>
          </w:rPr>
          <w:t>Form 1101 FR.01 Financial Review Checklist</w:t>
        </w:r>
      </w:hyperlink>
      <w:r w:rsidR="00694F68">
        <w:t xml:space="preserve"> (FRC), a document which is used to support the principles noted in Policy 1101, includes steps that require the preparer to perform </w:t>
      </w:r>
      <w:r w:rsidR="00694F68">
        <w:t>financial reporting and analysis procedures post-fiscal period close. These procedures are required to be performed monthly for each cost center by the DBO and include reviews of actual revenue and expense activity through various steps that incorporate fluctuation and trend analysis.</w:t>
      </w:r>
    </w:p>
    <w:p w:rsidR="00E416CC" w:rsidRPr="00E416CC" w:rsidP="00E416CC" w14:paraId="147E1E1E" w14:textId="77777777">
      <w:pPr>
        <w:pStyle w:val="2-PolicySectionLevel"/>
      </w:pPr>
      <w:r w:rsidRPr="00E416CC">
        <w:t>Compliance and Audit Support</w:t>
      </w:r>
    </w:p>
    <w:p w:rsidR="00E416CC" w:rsidP="00E416CC" w14:paraId="7B4BE75A" w14:textId="419802E5">
      <w:pPr>
        <w:pStyle w:val="3-PolicySectionLevel"/>
      </w:pPr>
      <w:r>
        <w:t xml:space="preserve">The University prepares annual and quarterly financial statements in accordance with Generally Accepted Accounting Principles (GAAP), </w:t>
      </w:r>
      <w:r>
        <w:t>which requires that the f</w:t>
      </w:r>
      <w:r w:rsidRPr="001F3026">
        <w:t xml:space="preserve">inancial statements completely and accurately reflect the performance and financial position at </w:t>
      </w:r>
      <w:r>
        <w:t>fiscal year-end</w:t>
      </w:r>
      <w:r w:rsidRPr="001F3026">
        <w:t>.</w:t>
      </w:r>
      <w:r>
        <w:t xml:space="preserve"> </w:t>
      </w:r>
    </w:p>
    <w:p w:rsidR="00E416CC" w:rsidP="00E416CC" w14:paraId="29F768F3" w14:textId="77777777">
      <w:pPr>
        <w:pStyle w:val="3-PolicySectionLevel"/>
        <w:numPr>
          <w:ilvl w:val="0"/>
          <w:numId w:val="0"/>
        </w:numPr>
        <w:ind w:left="1080"/>
      </w:pPr>
    </w:p>
    <w:p w:rsidR="00E416CC" w:rsidP="00E416CC" w14:paraId="1381F27E" w14:textId="77777777">
      <w:pPr>
        <w:pStyle w:val="3-PolicySectionLevel"/>
        <w:numPr>
          <w:ilvl w:val="0"/>
          <w:numId w:val="0"/>
        </w:numPr>
        <w:ind w:left="1080"/>
      </w:pPr>
      <w:r>
        <w:t>The University Controller’s Office, University Auditing &amp; Assurance (UAA), and the University’s external auditors employ and rely upon controls and procedures that include various levels of review and analysis of variances, anomalies, significant or unusual transactions, or trends. To support this process, the YSMCO prepares financial statements on a monthly basis and performs the aforementioned procedures so as to be informed on YSM’s financial status and be prepared for inquiries from the University Contr</w:t>
      </w:r>
      <w:r>
        <w:t xml:space="preserve">oller’s Office. The YSMCO is required to respond to the University Controller's Office by a defined due date each quarter. </w:t>
      </w:r>
    </w:p>
    <w:p w:rsidR="00E416CC" w:rsidP="00E416CC" w14:paraId="7B4098CC" w14:textId="77777777">
      <w:pPr>
        <w:pStyle w:val="3-PolicySectionLevel"/>
        <w:numPr>
          <w:ilvl w:val="0"/>
          <w:numId w:val="0"/>
        </w:numPr>
        <w:ind w:left="1080"/>
      </w:pPr>
    </w:p>
    <w:p w:rsidR="00E416CC" w:rsidP="00E416CC" w14:paraId="7832BFD2" w14:textId="77777777">
      <w:pPr>
        <w:pStyle w:val="3-PolicySectionLevel"/>
        <w:numPr>
          <w:ilvl w:val="0"/>
          <w:numId w:val="0"/>
        </w:numPr>
        <w:ind w:left="1080"/>
      </w:pPr>
      <w:r>
        <w:t xml:space="preserve">Comprehensive knowledge of the department/cost center’s balances, results, and variances is likely to lead to a more proactive approach to finding and rectifying issues, as opposed to a reactionary approach where the DBO is spending time after-the-fact to respond to and resolve questions and/or audit issues. </w:t>
      </w:r>
    </w:p>
    <w:bookmarkEnd w:id="4"/>
    <w:p w:rsidR="00404C3E" w:rsidP="000966FE" w14:paraId="13D15728" w14:textId="77777777">
      <w:pPr>
        <w:pStyle w:val="4-PolicySectionLevel"/>
        <w:numPr>
          <w:ilvl w:val="0"/>
          <w:numId w:val="0"/>
        </w:numPr>
        <w:rPr>
          <w:b/>
          <w:bCs/>
        </w:rPr>
      </w:pPr>
    </w:p>
    <w:p w:rsidR="00E416CC" w:rsidRPr="00E416CC" w:rsidP="00E416CC" w14:paraId="521C9A07" w14:textId="77777777">
      <w:pPr>
        <w:pStyle w:val="1-PolicySectionlevel"/>
      </w:pPr>
      <w:r w:rsidRPr="00E416CC">
        <w:t>Financial Reporting and Analysis Requirements</w:t>
      </w:r>
    </w:p>
    <w:p w:rsidR="00586F6A" w:rsidP="006C0DF2" w14:paraId="40F82811" w14:textId="48B6D63A">
      <w:r>
        <w:t xml:space="preserve">In support of the YSMCO’s financial reporting and analysis objectives, work which ultimately supports the University’s overarching reporting, </w:t>
      </w:r>
      <w:r>
        <w:t>analysis, compliance, and audit objectives, the role of the DBO is to thoroughly review its financial figures for each of the department’s cost centers and respond to inquiries as needed. This includes gaining an understanding of the distinction between budget-to-actuals variances and actuals-to-actuals variances. Inquiries and requests may come from the YSM Financial Planning &amp; Analysis team, the YSMCO, or a central University department such as the Controller’s Office, Financial Planning &amp; Analysis, the O</w:t>
      </w:r>
      <w:r>
        <w:t>ffice of General Counsel, UAA, etc.</w:t>
      </w:r>
    </w:p>
    <w:p w:rsidR="00E416CC" w:rsidP="00E416CC" w14:paraId="3952715C" w14:textId="77777777">
      <w:pPr>
        <w:pStyle w:val="2-PolicySectionLevel"/>
      </w:pPr>
      <w:r w:rsidRPr="00E416CC">
        <w:t>The role of the DBO</w:t>
      </w:r>
    </w:p>
    <w:p w:rsidR="00E416CC" w:rsidP="00E416CC" w14:paraId="737AB6C1" w14:textId="77777777">
      <w:pPr>
        <w:pStyle w:val="2-PolicySectionLevel"/>
        <w:numPr>
          <w:ilvl w:val="0"/>
          <w:numId w:val="0"/>
        </w:numPr>
        <w:ind w:left="720"/>
      </w:pPr>
    </w:p>
    <w:p w:rsidR="00E416CC" w:rsidRPr="00E416CC" w:rsidP="00E416CC" w14:paraId="6739229E" w14:textId="6DDFD1EB">
      <w:pPr>
        <w:pStyle w:val="2-PolicySectionLevel"/>
        <w:numPr>
          <w:ilvl w:val="0"/>
          <w:numId w:val="0"/>
        </w:numPr>
        <w:ind w:left="720"/>
      </w:pPr>
      <w:r w:rsidRPr="00E416CC">
        <w:t>At a minimum, each DBO is expected to support the aforementioned objectives through the following procedures:</w:t>
      </w:r>
    </w:p>
    <w:p w:rsidR="00E416CC" w:rsidRPr="00E416CC" w:rsidP="00E416CC" w14:paraId="36143D83" w14:textId="77777777">
      <w:pPr>
        <w:pStyle w:val="3-PolicySectionLevel"/>
      </w:pPr>
      <w:r w:rsidRPr="00E416CC">
        <w:t xml:space="preserve">Complete the FRC monthly for each cost center within the department and maintain documentation supporting the completion of each step. </w:t>
      </w:r>
    </w:p>
    <w:p w:rsidR="00E416CC" w:rsidRPr="00E416CC" w:rsidP="00E416CC" w14:paraId="6F565E3F" w14:textId="77777777">
      <w:pPr>
        <w:pStyle w:val="3-PolicySectionLevel"/>
      </w:pPr>
      <w:r w:rsidRPr="00E416CC">
        <w:t xml:space="preserve">Thoroughly document and respond to YSMCO inquiries regarding actuals-to-actuals variances. </w:t>
      </w:r>
    </w:p>
    <w:p w:rsidR="00E416CC" w:rsidRPr="00E416CC" w:rsidP="00E416CC" w14:paraId="0D001002" w14:textId="5BF24024">
      <w:pPr>
        <w:pStyle w:val="4-PolicySectionLevel"/>
      </w:pPr>
      <w:r>
        <w:t>The YSMCO may contact a DBO regarding account balance fluctuations that were not addressed through reporting initiated by</w:t>
      </w:r>
      <w:r>
        <w:t xml:space="preserve"> the YSM Financial Planning &amp; Analysis team and / or request clarification for explanations that were provided through those deliverables.</w:t>
      </w:r>
    </w:p>
    <w:p w:rsidR="00E416CC" w:rsidRPr="00E416CC" w:rsidP="00E416CC" w14:paraId="2C189E4F" w14:textId="77777777">
      <w:pPr>
        <w:pStyle w:val="ListParagraph"/>
        <w:numPr>
          <w:ilvl w:val="4"/>
          <w:numId w:val="7"/>
        </w:numPr>
      </w:pPr>
      <w:r w:rsidRPr="00E416CC">
        <w:t xml:space="preserve">This may include more detailed inquiries (e.g., on the level of cost center, supplier, faculty member, etc.) that were not necessarily addressed during the department-level reporting. </w:t>
      </w:r>
    </w:p>
    <w:p w:rsidR="00E416CC" w:rsidRPr="00E416CC" w:rsidP="00E416CC" w14:paraId="616BC30F" w14:textId="77777777">
      <w:pPr>
        <w:pStyle w:val="ListParagraph"/>
        <w:numPr>
          <w:ilvl w:val="4"/>
          <w:numId w:val="7"/>
        </w:numPr>
      </w:pPr>
      <w:r w:rsidRPr="00E416CC">
        <w:t xml:space="preserve">Responses must be detailed and relatively easy for the reader to understand. Consider that the end user is not always an individual who is involved in the day-to-day operations of the department. </w:t>
      </w:r>
    </w:p>
    <w:p w:rsidR="00CB3A66" w:rsidRPr="008323EC" w:rsidP="00E416CC" w14:paraId="0B25E16E" w14:textId="5374866A">
      <w:pPr>
        <w:pStyle w:val="4-PolicySectionLevel"/>
        <w:numPr>
          <w:ilvl w:val="0"/>
          <w:numId w:val="0"/>
        </w:numPr>
        <w:ind w:left="1800"/>
      </w:pPr>
    </w:p>
    <w:p w:rsidR="00EB4DAD" w:rsidRPr="00EC53A3" w:rsidP="00003662" w14:paraId="64CD4D72" w14:textId="77777777">
      <w:pPr>
        <w:pStyle w:val="SectionHeading"/>
        <w:rPr>
          <w:color w:val="17365D" w:themeColor="text2" w:themeShade="BF"/>
          <w:sz w:val="20"/>
        </w:rPr>
      </w:pPr>
      <w:r w:rsidRPr="00EC53A3">
        <w:rPr>
          <w:color w:val="17365D" w:themeColor="text2" w:themeShade="BF"/>
        </w:rPr>
        <w:t>Special Situations &amp; Exceptions</w:t>
      </w:r>
    </w:p>
    <w:p w:rsidR="008B3DAC" w:rsidRPr="008B3DAC" w:rsidP="008B3DAC" w14:paraId="5FCA508F" w14:textId="2FF08C97">
      <w:pPr>
        <w:rPr>
          <w:rFonts w:cs="Arial"/>
          <w:color w:val="000000"/>
          <w:shd w:val="clear" w:color="auto" w:fill="FFFFFF"/>
        </w:rPr>
      </w:pPr>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2"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3" w:history="1">
        <w:r w:rsidRPr="004F30FA" w:rsidR="00E416CC">
          <w:rPr>
            <w:rStyle w:val="Hyperlink"/>
            <w:rFonts w:cs="Arial"/>
            <w:shd w:val="clear" w:color="auto" w:fill="FFFFFF"/>
          </w:rPr>
          <w:t>ysmcontroller@yale.edu</w:t>
        </w:r>
      </w:hyperlink>
      <w:r>
        <w:rPr>
          <w:rStyle w:val="normaltextrun"/>
          <w:rFonts w:cs="Arial"/>
          <w:color w:val="000000"/>
          <w:shd w:val="clear" w:color="auto" w:fill="FFFFFF"/>
        </w:rPr>
        <w:t xml:space="preserve">. </w:t>
      </w:r>
    </w:p>
    <w:p w:rsidR="009315D0" w:rsidRPr="00EC53A3" w:rsidP="008B3DAC" w14:paraId="108936A4" w14:textId="77777777">
      <w:pPr>
        <w:pStyle w:val="SectionHeading"/>
        <w:spacing w:before="240"/>
        <w:rPr>
          <w:rFonts w:eastAsia="Arial"/>
          <w:color w:val="17365D" w:themeColor="text2" w:themeShade="BF"/>
        </w:rPr>
      </w:pPr>
      <w:r w:rsidRPr="00EC53A3">
        <w:rPr>
          <w:color w:val="17365D" w:themeColor="text2" w:themeShade="BF"/>
        </w:rPr>
        <w:t>Roles &amp; Responsibilities</w:t>
      </w:r>
      <w:bookmarkEnd w:id="3"/>
    </w:p>
    <w:p w:rsidR="007D358A" w:rsidP="007D358A" w14:paraId="7B01F65C" w14:textId="2F07B7F4">
      <w:pPr>
        <w:rPr>
          <w:rStyle w:val="Strong"/>
          <w:rFonts w:cs="Arial"/>
        </w:rPr>
      </w:pPr>
      <w:r>
        <w:rPr>
          <w:rStyle w:val="Strong"/>
          <w:rFonts w:cs="Arial"/>
        </w:rPr>
        <w:t>YSM Controller’s Office:</w:t>
      </w:r>
    </w:p>
    <w:p w:rsidR="007D358A" w:rsidP="007D358A" w14:paraId="15551DE3" w14:textId="44D19E25">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Clarification of this procedure</w:t>
      </w:r>
    </w:p>
    <w:p w:rsidR="007D358A" w:rsidP="00003662" w14:paraId="77BE01A9" w14:textId="77777777">
      <w:pPr>
        <w:pStyle w:val="SectionHeading"/>
        <w:rPr>
          <w:color w:val="17365D" w:themeColor="text2" w:themeShade="BF"/>
        </w:rPr>
      </w:pPr>
    </w:p>
    <w:p w:rsidR="0007688E" w:rsidRPr="00EC53A3" w:rsidP="00003662" w14:paraId="4F5295B2"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D358A" w14:paraId="2E45BDAF" w14:textId="0271A246">
      <w:pPr>
        <w:pStyle w:val="BodyText"/>
        <w:numPr>
          <w:ilvl w:val="0"/>
          <w:numId w:val="15"/>
        </w:numPr>
        <w:rPr>
          <w:rStyle w:val="Hyperlink"/>
          <w:color w:val="auto"/>
          <w:u w:val="none"/>
        </w:rPr>
      </w:pPr>
      <w:bookmarkStart w:id="5" w:name="_Hlk497987165"/>
      <w:r w:rsidRPr="008B3DAC">
        <w:rPr>
          <w:i/>
          <w:iCs/>
        </w:rPr>
        <w:t>YSM Controller’s Office</w:t>
      </w:r>
      <w:r w:rsidR="001D0152">
        <w:t xml:space="preserve">: </w:t>
      </w:r>
      <w:hyperlink r:id="rId14" w:history="1">
        <w:r w:rsidRPr="00BA1F4D" w:rsidR="008B3DAC">
          <w:rPr>
            <w:rStyle w:val="Hyperlink"/>
          </w:rPr>
          <w:t>ysmcontroller@yale.edu</w:t>
        </w:r>
      </w:hyperlink>
      <w:r w:rsidR="008B3DAC">
        <w:t xml:space="preserve"> </w:t>
      </w:r>
    </w:p>
    <w:p w:rsidR="007D358A" w:rsidP="00003662" w14:paraId="16D8BDCC" w14:textId="77777777">
      <w:pPr>
        <w:pStyle w:val="SectionHeading"/>
        <w:rPr>
          <w:color w:val="17365D" w:themeColor="text2" w:themeShade="BF"/>
        </w:rPr>
      </w:pPr>
    </w:p>
    <w:p w:rsidR="009315D0" w:rsidRPr="00EC53A3" w:rsidP="00003662" w14:paraId="13F60524" w14:textId="77777777">
      <w:pPr>
        <w:pStyle w:val="SectionHeading"/>
        <w:rPr>
          <w:color w:val="17365D" w:themeColor="text2" w:themeShade="BF"/>
        </w:rPr>
      </w:pPr>
      <w:r w:rsidRPr="00EC53A3">
        <w:rPr>
          <w:color w:val="17365D" w:themeColor="text2" w:themeShade="BF"/>
        </w:rPr>
        <w:t>Related Information</w:t>
      </w:r>
      <w:bookmarkEnd w:id="5"/>
    </w:p>
    <w:p w:rsidR="00E416CC" w:rsidRPr="00E416CC" w:rsidP="00E416CC" w14:paraId="1F89D965" w14:textId="2CB0A190">
      <w:pPr>
        <w:pStyle w:val="BodyText"/>
      </w:pPr>
      <w:r w:rsidRPr="00E416CC">
        <w:t>Not applicable</w:t>
      </w:r>
    </w:p>
    <w:p w:rsidR="00E416CC" w:rsidP="00F359A3" w14:paraId="40D9FBD0" w14:textId="77777777">
      <w:pPr>
        <w:pStyle w:val="SectionHeading"/>
        <w:rPr>
          <w:color w:val="17365D" w:themeColor="text2" w:themeShade="BF"/>
        </w:rPr>
      </w:pPr>
    </w:p>
    <w:p w:rsidR="0006084D" w:rsidRPr="00EC53A3" w:rsidP="00F359A3" w14:paraId="57F7AB3A" w14:textId="250B3EA9">
      <w:pPr>
        <w:pStyle w:val="SectionHeading"/>
        <w:rPr>
          <w:color w:val="17365D" w:themeColor="text2" w:themeShade="BF"/>
        </w:rPr>
      </w:pPr>
      <w:r w:rsidRPr="00EC53A3">
        <w:rPr>
          <w:color w:val="17365D" w:themeColor="text2" w:themeShade="BF"/>
        </w:rPr>
        <w:t>References</w:t>
      </w:r>
    </w:p>
    <w:p w:rsidR="00E416CC" w:rsidRPr="0016680E" w:rsidP="008B3DAC" w14:paraId="3A060D2A" w14:textId="01F398D8">
      <w:pPr>
        <w:pStyle w:val="NormalWeb"/>
        <w:spacing w:before="240" w:beforeAutospacing="0" w:after="0" w:afterAutospacing="0"/>
        <w:rPr>
          <w:rFonts w:ascii="Arial" w:hAnsi="Arial" w:cs="Arial"/>
          <w:sz w:val="20"/>
          <w:szCs w:val="20"/>
        </w:rPr>
      </w:pPr>
      <w:hyperlink r:id="rId15" w:history="1">
        <w:r w:rsidRPr="0016680E">
          <w:rPr>
            <w:rStyle w:val="Hyperlink"/>
            <w:rFonts w:ascii="Arial" w:hAnsi="Arial" w:cs="Arial"/>
            <w:sz w:val="20"/>
            <w:szCs w:val="20"/>
          </w:rPr>
          <w:t>1101 Guiding Principles for University Operations</w:t>
        </w:r>
      </w:hyperlink>
    </w:p>
    <w:p w:rsidR="00E416CC" w:rsidP="00E416CC" w14:paraId="1533EA50" w14:textId="77777777">
      <w:pPr>
        <w:pStyle w:val="BodyText"/>
        <w:spacing w:before="0" w:after="0"/>
      </w:pPr>
      <w:hyperlink r:id="rId16" w:history="1">
        <w:r w:rsidRPr="0016680E">
          <w:rPr>
            <w:rStyle w:val="Hyperlink"/>
          </w:rPr>
          <w:t>1101 FR.01 Financial Review Checklist</w:t>
        </w:r>
      </w:hyperlink>
    </w:p>
    <w:p w:rsidR="00E416CC" w:rsidP="00781F1F" w14:paraId="00A19B11" w14:textId="77777777">
      <w:pPr>
        <w:pStyle w:val="BodyText"/>
      </w:pPr>
    </w:p>
    <w:p w:rsidR="0006084D" w:rsidRPr="00EC53A3" w:rsidP="0006084D" w14:paraId="3E6491E8" w14:textId="77777777">
      <w:pPr>
        <w:pStyle w:val="SectionHeading"/>
        <w:rPr>
          <w:color w:val="17365D" w:themeColor="text2" w:themeShade="BF"/>
        </w:rPr>
      </w:pPr>
      <w:r w:rsidRPr="00EC53A3">
        <w:rPr>
          <w:color w:val="17365D" w:themeColor="text2" w:themeShade="BF"/>
        </w:rPr>
        <w:t>Version History</w:t>
      </w:r>
    </w:p>
    <w:p w:rsidR="00694F68" w:rsidRPr="00694F68" w:rsidP="007D358A" w14:paraId="73B789AA" w14:textId="5AC72D70">
      <w:pPr>
        <w:pStyle w:val="BodyText"/>
        <w:numPr>
          <w:ilvl w:val="0"/>
          <w:numId w:val="15"/>
        </w:numPr>
        <w:rPr>
          <w:bCs/>
        </w:rPr>
      </w:pPr>
      <w:r w:rsidRPr="00694F68">
        <w:rPr>
          <w:b/>
        </w:rPr>
        <w:t>09/8/2025:</w:t>
      </w:r>
      <w:r>
        <w:rPr>
          <w:bCs/>
        </w:rPr>
        <w:t xml:space="preserve"> Minimal wording revisions</w:t>
      </w:r>
    </w:p>
    <w:p w:rsidR="007D358A" w:rsidRPr="0050277A" w:rsidP="007D358A" w14:paraId="333E4F05" w14:textId="77939491">
      <w:pPr>
        <w:pStyle w:val="BodyText"/>
        <w:numPr>
          <w:ilvl w:val="0"/>
          <w:numId w:val="15"/>
        </w:numPr>
        <w:rPr>
          <w:bCs/>
        </w:rPr>
      </w:pPr>
      <w:r>
        <w:rPr>
          <w:b/>
        </w:rPr>
        <w:t>10/7/2024</w:t>
      </w:r>
      <w:r w:rsidR="001D0152">
        <w:rPr>
          <w:b/>
        </w:rPr>
        <w:t xml:space="preserve">: </w:t>
      </w:r>
      <w:r>
        <w:rPr>
          <w:bCs/>
        </w:rPr>
        <w:t>New document</w:t>
      </w:r>
    </w:p>
    <w:p w:rsidR="0006084D" w:rsidP="008B3DAC" w14:paraId="786A2F35" w14:textId="77777777">
      <w:pPr>
        <w:pStyle w:val="SectionHeading"/>
        <w:spacing w:before="240"/>
        <w:rPr>
          <w:color w:val="17365D" w:themeColor="text2" w:themeShade="BF"/>
        </w:rPr>
      </w:pPr>
      <w:r w:rsidRPr="00EC53A3">
        <w:rPr>
          <w:color w:val="17365D" w:themeColor="text2" w:themeShade="BF"/>
        </w:rPr>
        <w:t xml:space="preserve">Keywords </w:t>
      </w:r>
    </w:p>
    <w:p w:rsidR="00EC53A3" w:rsidP="00DE15D9" w14:paraId="1CA1ED88" w14:textId="320C3DB5">
      <w:r>
        <w:t>Financial Statement, Fluctuation, Analysis, Quarterly</w:t>
      </w:r>
    </w:p>
    <w:p w:rsidR="008B3DAC" w:rsidRPr="008B3DAC" w:rsidP="008B3DAC" w14:paraId="3346B9E4" w14:textId="77777777">
      <w:pPr>
        <w:pStyle w:val="BodyText"/>
      </w:pPr>
    </w:p>
    <w:p w:rsidR="00964C57" w:rsidP="00B31E70" w14:paraId="0B2235D4" w14:textId="77777777">
      <w:pPr>
        <w:spacing w:before="0"/>
        <w:rPr>
          <w:b/>
          <w:bCs/>
          <w:szCs w:val="24"/>
        </w:rPr>
      </w:pPr>
    </w:p>
    <w:p w:rsidR="00B31E70" w:rsidRPr="00527DB8" w:rsidP="008B3DAC" w14:paraId="1E5045BB" w14:textId="35408ECB">
      <w:pPr>
        <w:rPr>
          <w:sz w:val="18"/>
          <w:szCs w:val="18"/>
        </w:rPr>
      </w:pPr>
      <w:r w:rsidRPr="00825DBD">
        <w:rPr>
          <w:b/>
          <w:bCs/>
          <w:szCs w:val="24"/>
        </w:rPr>
        <w:t xml:space="preserve">Responsible Official: </w:t>
      </w:r>
      <w:r w:rsidRPr="00825DBD">
        <w:rPr>
          <w:b/>
          <w:bCs/>
          <w:szCs w:val="24"/>
        </w:rPr>
        <w:tab/>
      </w:r>
      <w:r w:rsidRPr="00825DBD">
        <w:rPr>
          <w:b/>
          <w:bCs/>
          <w:szCs w:val="24"/>
        </w:rPr>
        <w:tab/>
      </w:r>
      <w:r w:rsidR="00E416CC">
        <w:rPr>
          <w:b/>
          <w:bCs/>
          <w:szCs w:val="24"/>
        </w:rPr>
        <w:t>Deputy Dean Finance &amp; Administration</w:t>
      </w:r>
    </w:p>
    <w:p w:rsidR="00B31E70" w:rsidRPr="00825DBD" w:rsidP="00B31E70" w14:paraId="088FE683" w14:textId="47676A7B">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138ADF52" w14:textId="529D8F86">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Date_Created</w:instrText>
      </w:r>
      <w:r>
        <w:instrText xml:space="preserve"> </w:instrText>
      </w:r>
      <w:r>
        <w:instrText>\*</w:instrText>
      </w:r>
      <w:r>
        <w:instrText xml:space="preserve"> </w:instrText>
      </w:r>
      <w:r>
        <w:instrText>MERGEFORMAT</w:instrText>
      </w:r>
      <w:r>
        <w:instrText xml:space="preserve"> </w:instrText>
      </w:r>
      <w:r>
        <w:fldChar w:fldCharType="separate"/>
      </w:r>
      <w:r>
        <w:t>10/07/2024</w:t>
      </w:r>
      <w:r>
        <w:fldChar w:fldCharType="end"/>
      </w:r>
    </w:p>
    <w:p w:rsidR="007179BB" w:rsidRPr="007D358A" w:rsidP="007D358A" w14:paraId="51A61B50" w14:textId="70C7652F">
      <w:pPr>
        <w:rPr>
          <w:b/>
          <w:bCs/>
          <w:szCs w:val="24"/>
        </w:rPr>
      </w:pPr>
      <w:r w:rsidRPr="00825DBD">
        <w:rPr>
          <w:b/>
          <w:bCs/>
          <w:szCs w:val="24"/>
        </w:rPr>
        <w:t>Approval Date</w:t>
      </w:r>
      <w:r>
        <w:rPr>
          <w:b/>
          <w:bCs/>
          <w:szCs w:val="24"/>
        </w:rPr>
        <w:t>:</w:t>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10/21/2024</w:t>
      </w:r>
      <w:r>
        <w:fldChar w:fldCharType="end"/>
      </w:r>
    </w:p>
    <w:p w:rsidR="0006084D" w:rsidP="00964C57" w14:paraId="6C72B3B0"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076448CC" w14:textId="77777777">
      <w:pPr>
        <w:rPr>
          <w:sz w:val="16"/>
        </w:rPr>
      </w:pPr>
    </w:p>
    <w:p w:rsidR="00964C57" w:rsidP="00964C57" w14:paraId="2D497647" w14:textId="77777777">
      <w:pPr>
        <w:rPr>
          <w:sz w:val="16"/>
        </w:rPr>
      </w:pPr>
    </w:p>
    <w:sectPr w:rsidSect="00641FF8">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00A9FE05" w14:textId="77777777">
      <w:pPr>
        <w:spacing w:before="0" w:after="0"/>
      </w:pPr>
      <w:r>
        <w:separator/>
      </w:r>
    </w:p>
  </w:endnote>
  <w:endnote w:type="continuationSeparator" w:id="1">
    <w:p w:rsidR="00822A6D" w14:paraId="7353A337"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45E" w14:paraId="6D1D44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8700543"/>
      <w:docPartObj>
        <w:docPartGallery w:val="Page Numbers (Bottom of Page)"/>
        <w:docPartUnique/>
      </w:docPartObj>
    </w:sdtPr>
    <w:sdtContent>
      <w:sdt>
        <w:sdtPr>
          <w:id w:val="1534661147"/>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1663506"/>
      <w:docPartObj>
        <w:docPartGallery w:val="Page Numbers (Bottom of Page)"/>
        <w:docPartUnique/>
      </w:docPartObj>
    </w:sdtPr>
    <w:sdtContent>
      <w:sdt>
        <w:sdtPr>
          <w:id w:val="744760688"/>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433550F7" w14:textId="77777777">
      <w:pPr>
        <w:spacing w:before="0" w:after="0"/>
      </w:pPr>
      <w:r>
        <w:separator/>
      </w:r>
    </w:p>
  </w:footnote>
  <w:footnote w:type="continuationSeparator" w:id="1">
    <w:p w:rsidR="00822A6D" w14:paraId="330296D6"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6C0" w14:paraId="22242E7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6C0" w14:paraId="3C7D65D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3A447539">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5F406EAD">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Quarterly Financial Statement Fluctuation Analysis - Procedure</w:t>
    </w:r>
    <w:r>
      <w:fldChar w:fldCharType="end"/>
    </w:r>
  </w:p>
  <w:p w:rsidR="00B25E5B" w:rsidRPr="00527DB8" w:rsidP="00C454DB" w14:paraId="56EA20AC" w14:textId="47C1DF3C">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9A518F" w:rsidR="004D0B0B">
      <w:t xml:space="preserve"> </w:t>
    </w:r>
  </w:p>
  <w:p w:rsidR="00B25E5B" w:rsidRPr="000B515B" w:rsidP="000B515B" w14:paraId="6EF44D82" w14:textId="70F0613C">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Gina Kozak</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5CAEACE7">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10/21/2024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6680E"/>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152"/>
    <w:rsid w:val="001D0518"/>
    <w:rsid w:val="001D1F77"/>
    <w:rsid w:val="001D2F7B"/>
    <w:rsid w:val="001D3861"/>
    <w:rsid w:val="001D4E33"/>
    <w:rsid w:val="001D5C2F"/>
    <w:rsid w:val="001D5CEC"/>
    <w:rsid w:val="001D76B3"/>
    <w:rsid w:val="001E0B69"/>
    <w:rsid w:val="001E0C9F"/>
    <w:rsid w:val="001E2903"/>
    <w:rsid w:val="001E66A1"/>
    <w:rsid w:val="001F14C9"/>
    <w:rsid w:val="001F2229"/>
    <w:rsid w:val="001F3026"/>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23"/>
    <w:rsid w:val="004C5193"/>
    <w:rsid w:val="004C6612"/>
    <w:rsid w:val="004C6AC0"/>
    <w:rsid w:val="004C7345"/>
    <w:rsid w:val="004D0276"/>
    <w:rsid w:val="004D09EF"/>
    <w:rsid w:val="004D0B0B"/>
    <w:rsid w:val="004D3CF4"/>
    <w:rsid w:val="004D4E0E"/>
    <w:rsid w:val="004D706F"/>
    <w:rsid w:val="004E0D5C"/>
    <w:rsid w:val="004E1460"/>
    <w:rsid w:val="004E150A"/>
    <w:rsid w:val="004E1AE1"/>
    <w:rsid w:val="004E27A3"/>
    <w:rsid w:val="004E6561"/>
    <w:rsid w:val="004E699F"/>
    <w:rsid w:val="004E797C"/>
    <w:rsid w:val="004F18C3"/>
    <w:rsid w:val="004F224A"/>
    <w:rsid w:val="004F22B1"/>
    <w:rsid w:val="004F26BA"/>
    <w:rsid w:val="004F30F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4F68"/>
    <w:rsid w:val="006966C0"/>
    <w:rsid w:val="006973AA"/>
    <w:rsid w:val="006A1739"/>
    <w:rsid w:val="006B2178"/>
    <w:rsid w:val="006B3C9C"/>
    <w:rsid w:val="006B5C0B"/>
    <w:rsid w:val="006B6937"/>
    <w:rsid w:val="006C0DF2"/>
    <w:rsid w:val="006C32E5"/>
    <w:rsid w:val="006C34CF"/>
    <w:rsid w:val="006C4353"/>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4F37"/>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3DA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5CB9"/>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0EA1"/>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0A5E"/>
    <w:rsid w:val="00B81340"/>
    <w:rsid w:val="00B818F0"/>
    <w:rsid w:val="00B81AF1"/>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1F4D"/>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4E80"/>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E51C6"/>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16CC"/>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45E"/>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0654D72C"/>
    <w:rsid w:val="11BDA3B7"/>
    <w:rsid w:val="1F5F499D"/>
    <w:rsid w:val="2EC99CFA"/>
    <w:rsid w:val="4F089848"/>
    <w:rsid w:val="6B90207F"/>
  </w:rsids>
  <w:docVars>
    <w:docVar w:name="AP Job Title" w:val="AP Job Title"/>
    <w:docVar w:name="Content Effective Date" w:val="Not Set"/>
    <w:docVar w:name="CorpImageID_0" w:val="2_2%7c1%7c0%7c2%7c2%7c"/>
    <w:docVar w:name="Date Approved" w:val="10/21/2024"/>
    <w:docVar w:name="Date Created" w:val="10/07/2024"/>
    <w:docVar w:name="Date_Approved" w:val="10/21/2024"/>
    <w:docVar w:name="Date_Created" w:val="10/07/2024"/>
    <w:docVar w:name="Document Title" w:val="Quarterly Financial Statement Fluctuation Analysis - Procedure"/>
    <w:docVar w:name="Document_Title" w:val="Quarterly Financial Statement Fluctuation Analysis - Procedur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PO Full Name" w:val="Kelsey Schieren"/>
    <w:docVar w:name="PO_Full_Name" w:val="Kelsey Schieren"/>
    <w:docVar w:name="WR Both" w:val="Gina Kozak"/>
    <w:docVar w:name="WR Department" w:val="MEDFIN Finance and Administration"/>
    <w:docVar w:name="WR_Both" w:val="Gina Kozak"/>
    <w:docVar w:name="WR_Department" w:val="MEDFIN Finance and Administration"/>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18D924"/>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our.yale.edu/policies-procedures/policies/1101-guiding-principles-university-operations" TargetMode="External" /><Relationship Id="rId11" Type="http://schemas.openxmlformats.org/officeDocument/2006/relationships/hyperlink" Target="https://your.yale.edu/policies-procedures/forms/1101-fr01-financial-review-checklist" TargetMode="External" /><Relationship Id="rId12" Type="http://schemas.openxmlformats.org/officeDocument/2006/relationships/hyperlink" Target="https://yale.navexone.com/content/docview/?docid=510&amp;public=true&amp;fileonly=true&amp;app=pt&amp;source=doclink" TargetMode="External" /><Relationship Id="rId13" Type="http://schemas.openxmlformats.org/officeDocument/2006/relationships/hyperlink" Target="mailto:ysmcontroller@yale.edu" TargetMode="External" /><Relationship Id="rId14" Type="http://schemas.openxmlformats.org/officeDocument/2006/relationships/hyperlink" Target="mailto:ysmcontroller@yale.edu" TargetMode="External" /><Relationship Id="rId15" Type="http://schemas.openxmlformats.org/officeDocument/2006/relationships/hyperlink" Target="https://your.yale.edu/policies-procedures/policies/1101-guiding-principles-university-operations" TargetMode="External" /><Relationship Id="rId16" Type="http://schemas.openxmlformats.org/officeDocument/2006/relationships/hyperlink" Target="https://your.yale.edu/policies-procedures/forms/1101-fr01-financial-review-checklis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888</Words>
  <Characters>6070</Characters>
  <Application>Microsoft Office Word</Application>
  <DocSecurity>0</DocSecurity>
  <Lines>50</Lines>
  <Paragraphs>13</Paragraphs>
  <ScaleCrop>false</ScaleCrop>
  <Company>Yale University</Company>
  <LinksUpToDate>false</LinksUpToDate>
  <CharactersWithSpaces>6945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Quarterly Financial Statement Fluctuation Analysis - Procedure</dc:title>
  <dc:creator>Hettiarachchi, Parami</dc:creator>
  <lastModifiedBy>Schieren, Kelsey</lastModifiedBy>
  <revision>8</revision>
  <lastPrinted>2015-08-17T19:29:00.0000000Z</lastPrinted>
  <dcterms:created xsi:type="dcterms:W3CDTF">2024-10-07T19:58:00.0000000Z</dcterms:created>
  <dcterms:modified xsi:type="dcterms:W3CDTF">2025-09-08T19:53:00.0000000Z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