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53277B" w:rsidRPr="00EC53A3" w:rsidP="008801A5" w14:paraId="5E20FEE7" w14:textId="77777777">
      <w:pPr>
        <w:pStyle w:val="SectionHeading"/>
      </w:pPr>
      <w:r w:rsidRPr="00EC53A3">
        <w:t>Scope</w:t>
      </w:r>
    </w:p>
    <w:p w:rsidR="00561074" w:rsidRPr="00EC53A3" w:rsidP="00DE15D9" w14:paraId="32DFC1CE" w14:textId="77777777">
      <w:r w:rsidRPr="000A3984">
        <w:t>This Policy establishes requirements regarding the billing for clinical procedures and services received by study participants in a clinical trial or research study (herein referred to as “research study”).</w:t>
      </w:r>
    </w:p>
    <w:p w:rsidR="007D39A2" w:rsidRPr="00EC53A3" w:rsidP="00003662" w14:paraId="4D1AC62A" w14:textId="77777777">
      <w:pPr>
        <w:pStyle w:val="SectionHeading"/>
        <w:rPr>
          <w:color w:val="17365D" w:themeColor="text2" w:themeShade="BF"/>
        </w:rPr>
      </w:pPr>
      <w:r w:rsidRPr="00EC53A3">
        <w:rPr>
          <w:color w:val="17365D" w:themeColor="text2" w:themeShade="BF"/>
        </w:rPr>
        <w:t>Reason for the Policy</w:t>
      </w:r>
    </w:p>
    <w:p w:rsidR="00ED0249" w:rsidRPr="00EC53A3" w:rsidP="00F056F8" w14:paraId="17311A4B" w14:textId="77777777">
      <w:pPr>
        <w:tabs>
          <w:tab w:val="left" w:pos="6645"/>
        </w:tabs>
      </w:pPr>
      <w:r w:rsidRPr="000A3984">
        <w:t xml:space="preserve">The purpose of this Policy is to establish sound internal control standards to assure the integrity of billing procedures in the Yale School of Medicine’s (YSM) and Yale-New Haven System’s (YNHHS) research studies which require </w:t>
      </w:r>
      <w:r w:rsidR="00B7239D">
        <w:t xml:space="preserve">or </w:t>
      </w:r>
      <w:r>
        <w:t>offer</w:t>
      </w:r>
      <w:r w:rsidRPr="000A3984">
        <w:t xml:space="preserve"> diagnostic procedures, clinical diagnosis, treatment, observation, or other clinical services as part of the research study. Additionally, this Policy is issued to ensure compliance with sponsor terms and conditions, governmental regulations, </w:t>
      </w:r>
      <w:r>
        <w:t xml:space="preserve">protection of research participants, </w:t>
      </w:r>
      <w:r w:rsidRPr="000A3984">
        <w:t>and YSM and YNHHS policies related to billable clinical services in research studies.</w:t>
      </w:r>
      <w:r>
        <w:tab/>
      </w:r>
      <w:r w:rsidR="00EB5783">
        <w:tab/>
      </w:r>
    </w:p>
    <w:p w:rsidR="00271F83" w:rsidRPr="00EC53A3" w:rsidP="00003662" w14:paraId="51CA6B56" w14:textId="77777777">
      <w:pPr>
        <w:pStyle w:val="SectionHeading"/>
        <w:rPr>
          <w:color w:val="17365D" w:themeColor="text2" w:themeShade="BF"/>
        </w:rPr>
      </w:pPr>
      <w:r w:rsidRPr="00EC53A3">
        <w:rPr>
          <w:color w:val="17365D" w:themeColor="text2" w:themeShade="BF"/>
        </w:rPr>
        <w:t>Definitions</w:t>
      </w:r>
    </w:p>
    <w:p w:rsidR="00F056F8" w:rsidRPr="000A3984" w:rsidP="00F056F8" w14:paraId="5D84B601" w14:textId="77777777">
      <w:pPr>
        <w:rPr>
          <w:b/>
        </w:rPr>
      </w:pPr>
      <w:bookmarkStart w:id="0" w:name="_Toc425171621"/>
      <w:r w:rsidRPr="000A3984">
        <w:rPr>
          <w:b/>
        </w:rPr>
        <w:t>Billable Clinical Services (herein referred to as “billable services”)</w:t>
      </w:r>
    </w:p>
    <w:p w:rsidR="00075E20" w:rsidP="00075E20" w14:paraId="52864392" w14:textId="77777777">
      <w:r w:rsidRPr="000A3984">
        <w:t>For purposes of this policy, a billable clinical service is any clinical service rendered to a research subject that, if he/she was not on a study, would generate a bill from either Yale-New Haven Health System or Yale Medicine to the research participant or the participant’s insurer. The billable clinical service may be performed by the research staff of the study or may be provided by professionals within either YNHHS</w:t>
      </w:r>
      <w:r>
        <w:t>, Northeast Medical Group,</w:t>
      </w:r>
      <w:r w:rsidRPr="000A3984">
        <w:t xml:space="preserve"> or Yale Medicine (examples include physical examinations, x-rays, MRIs, CT scans, and laboratory and histologic studies). </w:t>
      </w:r>
      <w:r w:rsidRPr="00075E20">
        <w:t xml:space="preserve">In some cases, billable services for research studies are provided by vendors external to Yale Medicine or YNHHS (e.g., Greenwich Radiology).A billable clinical service includes services paid by the research participant or insurance (Standard of Care), or by the study’s funding mechanism (sponsor may include internal or external entities) regardless of whether </w:t>
      </w:r>
      <w:r w:rsidRPr="00075E20">
        <w:t>some, part, or all of the services are billed to the research sponsor</w:t>
      </w:r>
      <w:r>
        <w:t>.</w:t>
      </w:r>
    </w:p>
    <w:p w:rsidR="00075E20" w:rsidP="00075E20" w14:paraId="07DC244F" w14:textId="77777777"/>
    <w:p w:rsidR="000A0791" w:rsidP="000A0791" w14:paraId="5A28162B" w14:textId="08D902DD">
      <w:pPr>
        <w:pStyle w:val="BodyText"/>
      </w:pPr>
      <w:r w:rsidRPr="00075E20">
        <w:t xml:space="preserve">In select circumstances, a clinical service may be conducted as part of a research study in research facilities (e.g., PET Center, MR Research Center). Instead of billing sponsors or the participant’s insurance at rates according to the research chargemaster for clinical services, these facilities may charge research sponsors as a designated University Service Provider under the following circumstances: 1) the procedure or encounter is solely related to the research study and is not part of the standard of </w:t>
      </w:r>
      <w:r w:rsidRPr="00075E20">
        <w:t>care as determined by the Medicare Coverage Analysis described below; 2) the USP rates have been approved by the YSM Controller; 3) rates for clinical research services charged to NIH grants are at or below the most favorable among research sponsors; 4) the research area where the research procedure or encounter are conducted meets or exceeds all applicable regulations pertinent to participant privacy, safety, and effectiveness; 5) As noted in Section 5 in the Policy Section below, the encounter or procedur</w:t>
      </w:r>
      <w:r w:rsidRPr="00075E20">
        <w:t xml:space="preserve">e is documented in Epic and OnCore (or in the electronic health record at the VA or Connecticut Mental Health Center if the research is conducted at these sites). If the research facility is not an approved USP provider or fails to meet the criteria above, clinical procedures or encounters should not be </w:t>
      </w:r>
      <w:r w:rsidRPr="00075E20">
        <w:t>conducted as part of a YSM research protocol. Exceptions to the requirement for documentation in the Electronic Health Record are permissible for research studies in the research protocol that are (1) not “c</w:t>
      </w:r>
      <w:r w:rsidRPr="00075E20">
        <w:t>linical grade”, (2) the results of which would not affect any subsequent clinical care of the subject. Some non-clinical grade studies may produce results that the clinician determines requires further investigation by clinical grade studies (e.g., some genetic or imaging evaluations) that would be entered into the electronic health record for the safety or clinical care of the subjects</w:t>
      </w:r>
      <w:r>
        <w:t>.</w:t>
      </w:r>
    </w:p>
    <w:p w:rsidR="00075E20" w:rsidP="000A0791" w14:paraId="6CB7A045" w14:textId="77777777">
      <w:pPr>
        <w:pStyle w:val="BodyText"/>
      </w:pPr>
    </w:p>
    <w:p w:rsidR="000A0791" w:rsidRPr="00F2352B" w:rsidP="000A0791" w14:paraId="4EE74484" w14:textId="77777777">
      <w:pPr>
        <w:pStyle w:val="BodyText"/>
      </w:pPr>
      <w:r w:rsidRPr="000A3984">
        <w:t xml:space="preserve">Please note that </w:t>
      </w:r>
      <w:r>
        <w:t xml:space="preserve">this policy does not otherwise apply to </w:t>
      </w:r>
      <w:r w:rsidRPr="000A3984">
        <w:t xml:space="preserve">administrative </w:t>
      </w:r>
      <w:r>
        <w:t>or</w:t>
      </w:r>
      <w:r w:rsidRPr="000A3984">
        <w:t xml:space="preserve"> other non-clinical services provided by a University Service </w:t>
      </w:r>
      <w:r>
        <w:t>Provider.</w:t>
      </w:r>
    </w:p>
    <w:p w:rsidR="00F056F8" w:rsidP="00F056F8" w14:paraId="193C4E14" w14:textId="77777777">
      <w:pPr>
        <w:rPr>
          <w:b/>
        </w:rPr>
      </w:pPr>
      <w:r>
        <w:rPr>
          <w:b/>
        </w:rPr>
        <w:t>Informed</w:t>
      </w:r>
      <w:r>
        <w:rPr>
          <w:b/>
          <w:spacing w:val="-3"/>
        </w:rPr>
        <w:t xml:space="preserve"> </w:t>
      </w:r>
      <w:r>
        <w:rPr>
          <w:b/>
        </w:rPr>
        <w:t>Consent</w:t>
      </w:r>
      <w:r>
        <w:rPr>
          <w:b/>
          <w:spacing w:val="-7"/>
        </w:rPr>
        <w:t xml:space="preserve"> </w:t>
      </w:r>
      <w:r>
        <w:rPr>
          <w:b/>
        </w:rPr>
        <w:t>Form</w:t>
      </w:r>
      <w:r>
        <w:rPr>
          <w:b/>
          <w:spacing w:val="-5"/>
        </w:rPr>
        <w:t xml:space="preserve"> </w:t>
      </w:r>
      <w:r>
        <w:t>(herein</w:t>
      </w:r>
      <w:r>
        <w:rPr>
          <w:spacing w:val="-5"/>
        </w:rPr>
        <w:t xml:space="preserve"> </w:t>
      </w:r>
      <w:r>
        <w:t>referred</w:t>
      </w:r>
      <w:r>
        <w:rPr>
          <w:spacing w:val="-10"/>
        </w:rPr>
        <w:t xml:space="preserve"> </w:t>
      </w:r>
      <w:r>
        <w:t>to</w:t>
      </w:r>
      <w:r>
        <w:rPr>
          <w:spacing w:val="-5"/>
        </w:rPr>
        <w:t xml:space="preserve"> </w:t>
      </w:r>
      <w:r>
        <w:t>as</w:t>
      </w:r>
      <w:r>
        <w:rPr>
          <w:spacing w:val="-7"/>
        </w:rPr>
        <w:t xml:space="preserve"> </w:t>
      </w:r>
      <w:r>
        <w:rPr>
          <w:spacing w:val="-2"/>
        </w:rPr>
        <w:t>“ICF”)</w:t>
      </w:r>
    </w:p>
    <w:p w:rsidR="00F056F8" w:rsidP="00F056F8" w14:paraId="398C0BBD" w14:textId="77777777">
      <w:r w:rsidRPr="000A3984">
        <w:t xml:space="preserve">The </w:t>
      </w:r>
      <w:r w:rsidRPr="000A3984">
        <w:t>document used by the investigator to obtain the informed consent of the individual who wishes to participate in the research study. The ICF includes specific information about the study including but not limited to what research services/procedures will be performed and the associated financial obligations of the research subject, his/her insurer, and/or the sponsor.</w:t>
      </w:r>
    </w:p>
    <w:p w:rsidR="00F056F8" w:rsidP="00F056F8" w14:paraId="4CAB2D86" w14:textId="77777777">
      <w:pPr>
        <w:rPr>
          <w:b/>
        </w:rPr>
      </w:pPr>
    </w:p>
    <w:p w:rsidR="00254D6C" w:rsidP="00254D6C" w14:paraId="5DFE3BAE" w14:textId="77777777">
      <w:pPr>
        <w:rPr>
          <w:spacing w:val="-2"/>
        </w:rPr>
      </w:pPr>
      <w:r>
        <w:rPr>
          <w:b/>
        </w:rPr>
        <w:t>Institutional</w:t>
      </w:r>
      <w:r>
        <w:rPr>
          <w:b/>
          <w:spacing w:val="-5"/>
        </w:rPr>
        <w:t xml:space="preserve"> </w:t>
      </w:r>
      <w:r>
        <w:rPr>
          <w:b/>
        </w:rPr>
        <w:t>Review</w:t>
      </w:r>
      <w:r>
        <w:rPr>
          <w:b/>
          <w:spacing w:val="-5"/>
        </w:rPr>
        <w:t xml:space="preserve"> </w:t>
      </w:r>
      <w:r>
        <w:rPr>
          <w:b/>
        </w:rPr>
        <w:t>Board</w:t>
      </w:r>
      <w:r>
        <w:rPr>
          <w:b/>
          <w:spacing w:val="-4"/>
        </w:rPr>
        <w:t xml:space="preserve"> </w:t>
      </w:r>
      <w:r>
        <w:t>(herein</w:t>
      </w:r>
      <w:r>
        <w:rPr>
          <w:spacing w:val="-8"/>
        </w:rPr>
        <w:t xml:space="preserve"> </w:t>
      </w:r>
      <w:r>
        <w:t>referred</w:t>
      </w:r>
      <w:r>
        <w:rPr>
          <w:spacing w:val="-7"/>
        </w:rPr>
        <w:t xml:space="preserve"> </w:t>
      </w:r>
      <w:r>
        <w:t>to</w:t>
      </w:r>
      <w:r>
        <w:rPr>
          <w:spacing w:val="-7"/>
        </w:rPr>
        <w:t xml:space="preserve"> </w:t>
      </w:r>
      <w:r>
        <w:t>as</w:t>
      </w:r>
      <w:r>
        <w:rPr>
          <w:spacing w:val="-10"/>
        </w:rPr>
        <w:t xml:space="preserve"> </w:t>
      </w:r>
      <w:r>
        <w:rPr>
          <w:spacing w:val="-2"/>
        </w:rPr>
        <w:t>“IRB”)</w:t>
      </w:r>
    </w:p>
    <w:p w:rsidR="00F056F8" w:rsidP="00254D6C" w14:paraId="7D445F6B" w14:textId="77777777">
      <w:r>
        <w:rPr>
          <w:color w:val="252525"/>
        </w:rPr>
        <w:t>The IRB is the administrative body established to protect the rights and welfare of human research subjects recruited to participate in research activities conducted under the auspices of the Institution.</w:t>
      </w:r>
      <w:r>
        <w:rPr>
          <w:color w:val="252525"/>
          <w:spacing w:val="40"/>
        </w:rPr>
        <w:t xml:space="preserve"> </w:t>
      </w:r>
      <w:r>
        <w:rPr>
          <w:color w:val="252525"/>
        </w:rPr>
        <w:t>The IRB is responsible</w:t>
      </w:r>
      <w:r>
        <w:rPr>
          <w:color w:val="252525"/>
          <w:spacing w:val="-2"/>
        </w:rPr>
        <w:t xml:space="preserve"> </w:t>
      </w:r>
      <w:r>
        <w:rPr>
          <w:color w:val="252525"/>
        </w:rPr>
        <w:t>for</w:t>
      </w:r>
      <w:r>
        <w:rPr>
          <w:color w:val="252525"/>
          <w:spacing w:val="-1"/>
        </w:rPr>
        <w:t xml:space="preserve"> </w:t>
      </w:r>
      <w:r>
        <w:rPr>
          <w:color w:val="252525"/>
        </w:rPr>
        <w:t>reviewing</w:t>
      </w:r>
      <w:r>
        <w:rPr>
          <w:color w:val="252525"/>
          <w:spacing w:val="-2"/>
        </w:rPr>
        <w:t xml:space="preserve"> </w:t>
      </w:r>
      <w:r>
        <w:rPr>
          <w:color w:val="252525"/>
        </w:rPr>
        <w:t>and</w:t>
      </w:r>
      <w:r>
        <w:rPr>
          <w:color w:val="252525"/>
          <w:spacing w:val="-2"/>
        </w:rPr>
        <w:t xml:space="preserve"> </w:t>
      </w:r>
      <w:r>
        <w:rPr>
          <w:color w:val="252525"/>
        </w:rPr>
        <w:t>approving</w:t>
      </w:r>
      <w:r>
        <w:rPr>
          <w:color w:val="252525"/>
          <w:spacing w:val="-2"/>
        </w:rPr>
        <w:t xml:space="preserve"> </w:t>
      </w:r>
      <w:r>
        <w:rPr>
          <w:color w:val="252525"/>
        </w:rPr>
        <w:t>human</w:t>
      </w:r>
      <w:r>
        <w:rPr>
          <w:color w:val="252525"/>
          <w:spacing w:val="-2"/>
        </w:rPr>
        <w:t xml:space="preserve"> </w:t>
      </w:r>
      <w:r>
        <w:rPr>
          <w:color w:val="252525"/>
        </w:rPr>
        <w:t>subjects</w:t>
      </w:r>
      <w:r>
        <w:rPr>
          <w:color w:val="252525"/>
          <w:spacing w:val="-1"/>
        </w:rPr>
        <w:t xml:space="preserve"> </w:t>
      </w:r>
      <w:r>
        <w:rPr>
          <w:color w:val="252525"/>
        </w:rPr>
        <w:t>research.</w:t>
      </w:r>
      <w:r>
        <w:rPr>
          <w:color w:val="252525"/>
          <w:spacing w:val="40"/>
        </w:rPr>
        <w:t xml:space="preserve"> </w:t>
      </w:r>
      <w:r>
        <w:rPr>
          <w:color w:val="252525"/>
        </w:rPr>
        <w:t>The</w:t>
      </w:r>
      <w:r>
        <w:rPr>
          <w:color w:val="252525"/>
          <w:spacing w:val="-7"/>
        </w:rPr>
        <w:t xml:space="preserve"> </w:t>
      </w:r>
      <w:r>
        <w:rPr>
          <w:color w:val="252525"/>
        </w:rPr>
        <w:t>IRB</w:t>
      </w:r>
      <w:r>
        <w:rPr>
          <w:color w:val="252525"/>
          <w:spacing w:val="-5"/>
        </w:rPr>
        <w:t xml:space="preserve"> </w:t>
      </w:r>
      <w:r>
        <w:rPr>
          <w:color w:val="252525"/>
        </w:rPr>
        <w:t>can</w:t>
      </w:r>
      <w:r>
        <w:rPr>
          <w:color w:val="252525"/>
          <w:spacing w:val="-2"/>
        </w:rPr>
        <w:t xml:space="preserve"> </w:t>
      </w:r>
      <w:r>
        <w:rPr>
          <w:color w:val="252525"/>
        </w:rPr>
        <w:t>be</w:t>
      </w:r>
      <w:r>
        <w:rPr>
          <w:color w:val="252525"/>
          <w:spacing w:val="-2"/>
        </w:rPr>
        <w:t xml:space="preserve"> </w:t>
      </w:r>
      <w:r>
        <w:rPr>
          <w:color w:val="252525"/>
        </w:rPr>
        <w:t>either</w:t>
      </w:r>
      <w:r>
        <w:rPr>
          <w:color w:val="252525"/>
          <w:spacing w:val="-1"/>
        </w:rPr>
        <w:t xml:space="preserve"> </w:t>
      </w:r>
      <w:r>
        <w:rPr>
          <w:color w:val="252525"/>
        </w:rPr>
        <w:t>a</w:t>
      </w:r>
      <w:r>
        <w:rPr>
          <w:color w:val="252525"/>
          <w:spacing w:val="-2"/>
        </w:rPr>
        <w:t xml:space="preserve"> </w:t>
      </w:r>
      <w:r>
        <w:rPr>
          <w:color w:val="252525"/>
        </w:rPr>
        <w:t>Yale</w:t>
      </w:r>
      <w:r>
        <w:rPr>
          <w:color w:val="252525"/>
          <w:spacing w:val="-2"/>
        </w:rPr>
        <w:t xml:space="preserve"> </w:t>
      </w:r>
      <w:r>
        <w:rPr>
          <w:color w:val="252525"/>
        </w:rPr>
        <w:t>body</w:t>
      </w:r>
      <w:r>
        <w:rPr>
          <w:color w:val="252525"/>
          <w:spacing w:val="-1"/>
        </w:rPr>
        <w:t xml:space="preserve"> </w:t>
      </w:r>
      <w:r>
        <w:rPr>
          <w:color w:val="252525"/>
        </w:rPr>
        <w:t>or an external entity with which the Yale Human Research Protection Program has contracted to review/approve protocols.</w:t>
      </w:r>
    </w:p>
    <w:p w:rsidR="00F056F8" w:rsidP="00F056F8" w14:paraId="430D8A93" w14:textId="77777777">
      <w:pPr>
        <w:spacing w:before="1"/>
        <w:rPr>
          <w:b/>
        </w:rPr>
      </w:pPr>
    </w:p>
    <w:p w:rsidR="00254D6C" w:rsidP="00254D6C" w14:paraId="798A093C" w14:textId="77777777">
      <w:pPr>
        <w:spacing w:before="1"/>
        <w:rPr>
          <w:spacing w:val="-2"/>
        </w:rPr>
      </w:pPr>
      <w:r>
        <w:rPr>
          <w:b/>
        </w:rPr>
        <w:t>Medicare</w:t>
      </w:r>
      <w:r>
        <w:rPr>
          <w:b/>
          <w:spacing w:val="-6"/>
        </w:rPr>
        <w:t xml:space="preserve"> </w:t>
      </w:r>
      <w:r>
        <w:rPr>
          <w:b/>
        </w:rPr>
        <w:t>Coverage</w:t>
      </w:r>
      <w:r>
        <w:rPr>
          <w:b/>
          <w:spacing w:val="-6"/>
        </w:rPr>
        <w:t xml:space="preserve"> </w:t>
      </w:r>
      <w:r>
        <w:rPr>
          <w:b/>
        </w:rPr>
        <w:t>Analysis</w:t>
      </w:r>
      <w:r>
        <w:rPr>
          <w:b/>
          <w:spacing w:val="-9"/>
        </w:rPr>
        <w:t xml:space="preserve"> </w:t>
      </w:r>
      <w:r>
        <w:t>(herein</w:t>
      </w:r>
      <w:r>
        <w:rPr>
          <w:spacing w:val="-5"/>
        </w:rPr>
        <w:t xml:space="preserve"> </w:t>
      </w:r>
      <w:r>
        <w:t>referred</w:t>
      </w:r>
      <w:r>
        <w:rPr>
          <w:spacing w:val="-6"/>
        </w:rPr>
        <w:t xml:space="preserve"> </w:t>
      </w:r>
      <w:r>
        <w:t>to</w:t>
      </w:r>
      <w:r>
        <w:rPr>
          <w:spacing w:val="-5"/>
        </w:rPr>
        <w:t xml:space="preserve"> </w:t>
      </w:r>
      <w:r>
        <w:t>as</w:t>
      </w:r>
      <w:r>
        <w:rPr>
          <w:spacing w:val="-8"/>
        </w:rPr>
        <w:t xml:space="preserve"> </w:t>
      </w:r>
      <w:r>
        <w:rPr>
          <w:spacing w:val="-2"/>
        </w:rPr>
        <w:t>“MCA”)</w:t>
      </w:r>
    </w:p>
    <w:p w:rsidR="00075E20" w:rsidP="00075E20" w14:paraId="08069B3A" w14:textId="77777777">
      <w:pPr>
        <w:spacing w:before="1"/>
        <w:rPr>
          <w:spacing w:val="-4"/>
        </w:rPr>
      </w:pPr>
      <w:r>
        <w:t>MCA is an independent review of a research study to determine which clinical procedures and services are billable to the research subject,</w:t>
      </w:r>
      <w:r>
        <w:rPr>
          <w:spacing w:val="-2"/>
        </w:rPr>
        <w:t xml:space="preserve"> </w:t>
      </w:r>
      <w:r>
        <w:t>third-party payer or</w:t>
      </w:r>
      <w:r>
        <w:rPr>
          <w:spacing w:val="-8"/>
        </w:rPr>
        <w:t xml:space="preserve"> </w:t>
      </w:r>
      <w:r>
        <w:t>sponsored award.</w:t>
      </w:r>
      <w:r>
        <w:rPr>
          <w:spacing w:val="40"/>
        </w:rPr>
        <w:t xml:space="preserve"> </w:t>
      </w:r>
      <w:r w:rsidRPr="00075E20">
        <w:rPr>
          <w:spacing w:val="-4"/>
        </w:rPr>
        <w:t>The MCA includes a review of the statutes, National Coverage Determinations (NCD), Local Coverage Determinations, published practice guidelines and clinical trial documents to determine the payment obligations for items and services that are documented in the research protocol and/or research plan.</w:t>
      </w:r>
    </w:p>
    <w:p w:rsidR="00075E20" w:rsidP="00075E20" w14:paraId="724F48AA" w14:textId="77777777">
      <w:pPr>
        <w:spacing w:before="1"/>
        <w:rPr>
          <w:spacing w:val="-4"/>
        </w:rPr>
      </w:pPr>
    </w:p>
    <w:p w:rsidR="00075E20" w:rsidP="00075E20" w14:paraId="06926D8B" w14:textId="77777777">
      <w:pPr>
        <w:spacing w:before="1"/>
        <w:rPr>
          <w:rFonts w:eastAsia="MS PGothic" w:cs="Arial"/>
          <w:color w:val="000000"/>
          <w:bdr w:val="none" w:sz="0" w:space="0" w:color="auto" w:frame="1"/>
        </w:rPr>
      </w:pPr>
      <w:r w:rsidRPr="00E14413">
        <w:rPr>
          <w:rFonts w:eastAsia="MS PGothic" w:cs="Arial"/>
          <w:b/>
          <w:bCs/>
          <w:color w:val="000000"/>
          <w:bdr w:val="none" w:sz="0" w:space="0" w:color="auto" w:frame="1"/>
        </w:rPr>
        <w:t>Research injury</w:t>
      </w:r>
      <w:r>
        <w:rPr>
          <w:rFonts w:eastAsia="MS PGothic" w:cs="Arial"/>
          <w:b/>
          <w:bCs/>
          <w:color w:val="000000"/>
          <w:bdr w:val="none" w:sz="0" w:space="0" w:color="auto" w:frame="1"/>
        </w:rPr>
        <w:t xml:space="preserve"> </w:t>
      </w:r>
      <w:r>
        <w:rPr>
          <w:rFonts w:eastAsia="MS PGothic" w:cs="Arial"/>
          <w:color w:val="000000"/>
          <w:bdr w:val="none" w:sz="0" w:space="0" w:color="auto" w:frame="1"/>
        </w:rPr>
        <w:t>(herein referred to as subjects’ injury)</w:t>
      </w:r>
    </w:p>
    <w:p w:rsidR="00F056F8" w:rsidRPr="00E14413" w:rsidP="00075E20" w14:paraId="24608BC7" w14:textId="48FBFFD5">
      <w:pPr>
        <w:spacing w:before="1"/>
        <w:rPr>
          <w:rFonts w:eastAsia="MS PGothic" w:cs="Arial"/>
          <w:color w:val="242424"/>
        </w:rPr>
      </w:pPr>
      <w:r>
        <w:rPr>
          <w:rFonts w:eastAsia="MS PGothic" w:cs="Arial"/>
          <w:color w:val="000000"/>
          <w:bdr w:val="none" w:sz="0" w:space="0" w:color="auto" w:frame="1"/>
        </w:rPr>
        <w:t>Research injury</w:t>
      </w:r>
      <w:r w:rsidRPr="00E14413">
        <w:rPr>
          <w:rFonts w:eastAsia="MS PGothic" w:cs="Arial"/>
          <w:color w:val="000000"/>
          <w:bdr w:val="none" w:sz="0" w:space="0" w:color="auto" w:frame="1"/>
        </w:rPr>
        <w:t> </w:t>
      </w:r>
      <w:r>
        <w:rPr>
          <w:rFonts w:eastAsia="MS PGothic" w:cs="Arial"/>
          <w:color w:val="000000"/>
          <w:bdr w:val="none" w:sz="0" w:space="0" w:color="auto" w:frame="1"/>
        </w:rPr>
        <w:t>i</w:t>
      </w:r>
      <w:r w:rsidRPr="00E14413">
        <w:rPr>
          <w:rFonts w:eastAsia="MS PGothic" w:cs="Arial"/>
          <w:color w:val="000000"/>
          <w:bdr w:val="none" w:sz="0" w:space="0" w:color="auto" w:frame="1"/>
        </w:rPr>
        <w:t>s a serious adverse event (SAE) that meets all of the following criteria:</w:t>
      </w:r>
    </w:p>
    <w:p w:rsidR="00F056F8" w:rsidRPr="00E14413" w:rsidP="00F056F8" w14:paraId="26DF079E" w14:textId="77777777">
      <w:pPr>
        <w:pStyle w:val="xmsonormal"/>
        <w:shd w:val="clear" w:color="auto" w:fill="FFFFFF"/>
        <w:spacing w:before="0" w:beforeAutospacing="0" w:after="0" w:afterAutospacing="0"/>
        <w:ind w:left="450" w:hanging="270"/>
        <w:textAlignment w:val="baseline"/>
        <w:rPr>
          <w:rFonts w:ascii="Arial" w:eastAsia="MS PGothic" w:hAnsi="Arial" w:cs="Arial"/>
          <w:color w:val="242424"/>
          <w:sz w:val="20"/>
          <w:szCs w:val="20"/>
        </w:rPr>
      </w:pPr>
      <w:r w:rsidRPr="00E14413">
        <w:rPr>
          <w:rFonts w:ascii="Arial" w:eastAsia="MS PGothic" w:hAnsi="Arial" w:cs="Arial"/>
          <w:color w:val="000000"/>
          <w:sz w:val="20"/>
          <w:szCs w:val="20"/>
          <w:bdr w:val="none" w:sz="0" w:space="0" w:color="auto" w:frame="1"/>
        </w:rPr>
        <w:t>1.  </w:t>
      </w:r>
      <w:r w:rsidRPr="00E14413">
        <w:rPr>
          <w:rFonts w:ascii="Arial" w:eastAsia="MS PGothic" w:hAnsi="Arial" w:cs="Arial"/>
          <w:b/>
          <w:bCs/>
          <w:color w:val="000000"/>
          <w:sz w:val="20"/>
          <w:szCs w:val="20"/>
          <w:bdr w:val="none" w:sz="0" w:space="0" w:color="auto" w:frame="1"/>
        </w:rPr>
        <w:t>Direct Attribution to Research:</w:t>
      </w:r>
      <w:r w:rsidRPr="00E14413">
        <w:rPr>
          <w:rFonts w:ascii="Arial" w:eastAsia="MS PGothic" w:hAnsi="Arial" w:cs="Arial"/>
          <w:color w:val="000000"/>
          <w:sz w:val="20"/>
          <w:szCs w:val="20"/>
          <w:bdr w:val="none" w:sz="0" w:space="0" w:color="auto" w:frame="1"/>
        </w:rPr>
        <w:t> It must be </w:t>
      </w:r>
      <w:r w:rsidRPr="00E14413">
        <w:rPr>
          <w:rFonts w:ascii="Arial" w:eastAsia="MS PGothic" w:hAnsi="Arial" w:cs="Arial"/>
          <w:color w:val="000000"/>
          <w:sz w:val="20"/>
          <w:szCs w:val="20"/>
          <w:u w:val="single"/>
          <w:bdr w:val="none" w:sz="0" w:space="0" w:color="auto" w:frame="1"/>
        </w:rPr>
        <w:t>definitely</w:t>
      </w:r>
      <w:r w:rsidRPr="00E14413">
        <w:rPr>
          <w:rFonts w:ascii="Arial" w:eastAsia="MS PGothic" w:hAnsi="Arial" w:cs="Arial"/>
          <w:color w:val="000000"/>
          <w:sz w:val="20"/>
          <w:szCs w:val="20"/>
          <w:bdr w:val="none" w:sz="0" w:space="0" w:color="auto" w:frame="1"/>
        </w:rPr>
        <w:t> or </w:t>
      </w:r>
      <w:r w:rsidRPr="00E14413">
        <w:rPr>
          <w:rFonts w:ascii="Arial" w:eastAsia="MS PGothic" w:hAnsi="Arial" w:cs="Arial"/>
          <w:color w:val="000000"/>
          <w:sz w:val="20"/>
          <w:szCs w:val="20"/>
          <w:u w:val="single"/>
          <w:bdr w:val="none" w:sz="0" w:space="0" w:color="auto" w:frame="1"/>
        </w:rPr>
        <w:t>probably </w:t>
      </w:r>
      <w:r w:rsidRPr="00E14413">
        <w:rPr>
          <w:rFonts w:ascii="Arial" w:eastAsia="MS PGothic" w:hAnsi="Arial" w:cs="Arial"/>
          <w:color w:val="000000"/>
          <w:sz w:val="20"/>
          <w:szCs w:val="20"/>
          <w:bdr w:val="none" w:sz="0" w:space="0" w:color="auto" w:frame="1"/>
        </w:rPr>
        <w:t>attributed to the trial therapy or procedures required by the protocol.</w:t>
      </w:r>
    </w:p>
    <w:p w:rsidR="00F056F8" w:rsidRPr="00E14413" w:rsidP="00F056F8" w14:paraId="55340653" w14:textId="77777777">
      <w:pPr>
        <w:pStyle w:val="xmsonormal"/>
        <w:shd w:val="clear" w:color="auto" w:fill="FFFFFF"/>
        <w:spacing w:before="0" w:beforeAutospacing="0" w:after="0" w:afterAutospacing="0"/>
        <w:ind w:left="450" w:hanging="270"/>
        <w:textAlignment w:val="baseline"/>
        <w:rPr>
          <w:rFonts w:ascii="Arial" w:eastAsia="MS PGothic" w:hAnsi="Arial" w:cs="Arial"/>
          <w:color w:val="242424"/>
          <w:sz w:val="20"/>
          <w:szCs w:val="20"/>
        </w:rPr>
      </w:pPr>
      <w:r w:rsidRPr="00E14413">
        <w:rPr>
          <w:rFonts w:ascii="Arial" w:eastAsia="MS PGothic" w:hAnsi="Arial" w:cs="Arial"/>
          <w:color w:val="000000"/>
          <w:sz w:val="20"/>
          <w:szCs w:val="20"/>
          <w:bdr w:val="none" w:sz="0" w:space="0" w:color="auto" w:frame="1"/>
        </w:rPr>
        <w:t>2.  </w:t>
      </w:r>
      <w:r w:rsidRPr="00E14413">
        <w:rPr>
          <w:rFonts w:ascii="Arial" w:eastAsia="MS PGothic" w:hAnsi="Arial" w:cs="Arial"/>
          <w:b/>
          <w:bCs/>
          <w:color w:val="000000"/>
          <w:sz w:val="20"/>
          <w:szCs w:val="20"/>
          <w:bdr w:val="none" w:sz="0" w:space="0" w:color="auto" w:frame="1"/>
        </w:rPr>
        <w:t>Exclusion of Primary Disease or Other Conditions:</w:t>
      </w:r>
      <w:r w:rsidRPr="00E14413">
        <w:rPr>
          <w:rFonts w:ascii="Arial" w:eastAsia="MS PGothic" w:hAnsi="Arial" w:cs="Arial"/>
          <w:color w:val="000000"/>
          <w:sz w:val="20"/>
          <w:szCs w:val="20"/>
          <w:bdr w:val="none" w:sz="0" w:space="0" w:color="auto" w:frame="1"/>
        </w:rPr>
        <w:t> It must not be attributable to the subject’s primary disease, natural progression of the primary disease, or any pre-existing condition.</w:t>
      </w:r>
    </w:p>
    <w:p w:rsidR="00F056F8" w:rsidRPr="00E14413" w:rsidP="00F056F8" w14:paraId="47E37465" w14:textId="77777777">
      <w:pPr>
        <w:pStyle w:val="xmsonormal"/>
        <w:shd w:val="clear" w:color="auto" w:fill="FFFFFF"/>
        <w:spacing w:before="0" w:beforeAutospacing="0" w:after="0" w:afterAutospacing="0"/>
        <w:ind w:left="450" w:hanging="270"/>
        <w:textAlignment w:val="baseline"/>
        <w:rPr>
          <w:rFonts w:ascii="Arial" w:eastAsia="MS PGothic" w:hAnsi="Arial" w:cs="Arial"/>
          <w:color w:val="242424"/>
          <w:sz w:val="20"/>
          <w:szCs w:val="20"/>
        </w:rPr>
      </w:pPr>
      <w:r w:rsidRPr="00E14413">
        <w:rPr>
          <w:rFonts w:ascii="Arial" w:eastAsia="MS PGothic" w:hAnsi="Arial" w:cs="Arial"/>
          <w:color w:val="000000"/>
          <w:sz w:val="20"/>
          <w:szCs w:val="20"/>
          <w:bdr w:val="none" w:sz="0" w:space="0" w:color="auto" w:frame="1"/>
        </w:rPr>
        <w:t>3.  </w:t>
      </w:r>
      <w:r w:rsidRPr="00E14413">
        <w:rPr>
          <w:rFonts w:ascii="Arial" w:eastAsia="MS PGothic" w:hAnsi="Arial" w:cs="Arial"/>
          <w:b/>
          <w:bCs/>
          <w:color w:val="000000"/>
          <w:sz w:val="20"/>
          <w:szCs w:val="20"/>
          <w:bdr w:val="none" w:sz="0" w:space="0" w:color="auto" w:frame="1"/>
        </w:rPr>
        <w:t>Unexpectedness:</w:t>
      </w:r>
      <w:r w:rsidRPr="00E14413">
        <w:rPr>
          <w:rFonts w:ascii="Arial" w:eastAsia="MS PGothic" w:hAnsi="Arial" w:cs="Arial"/>
          <w:color w:val="000000"/>
          <w:sz w:val="20"/>
          <w:szCs w:val="20"/>
          <w:bdr w:val="none" w:sz="0" w:space="0" w:color="auto" w:frame="1"/>
        </w:rPr>
        <w:t> When applicable, the adverse event must not be a known or reasonably anticipated side effect of the trial therapy based on existing scientific knowledge,</w:t>
      </w:r>
      <w:r>
        <w:rPr>
          <w:rFonts w:ascii="Arial" w:eastAsia="MS PGothic" w:hAnsi="Arial" w:cs="Arial"/>
          <w:color w:val="000000"/>
          <w:sz w:val="20"/>
          <w:szCs w:val="20"/>
          <w:bdr w:val="none" w:sz="0" w:space="0" w:color="auto" w:frame="1"/>
        </w:rPr>
        <w:t xml:space="preserve"> or</w:t>
      </w:r>
      <w:r w:rsidRPr="00E14413">
        <w:rPr>
          <w:rFonts w:ascii="Arial" w:eastAsia="MS PGothic" w:hAnsi="Arial" w:cs="Arial"/>
          <w:color w:val="000000"/>
          <w:sz w:val="20"/>
          <w:szCs w:val="20"/>
          <w:bdr w:val="none" w:sz="0" w:space="0" w:color="auto" w:frame="1"/>
        </w:rPr>
        <w:t xml:space="preserve"> clinical experience</w:t>
      </w:r>
      <w:r>
        <w:rPr>
          <w:rFonts w:ascii="Arial" w:eastAsia="MS PGothic" w:hAnsi="Arial" w:cs="Arial"/>
          <w:color w:val="000000"/>
          <w:sz w:val="20"/>
          <w:szCs w:val="20"/>
          <w:bdr w:val="none" w:sz="0" w:space="0" w:color="auto" w:frame="1"/>
        </w:rPr>
        <w:t>.</w:t>
      </w:r>
    </w:p>
    <w:p w:rsidR="00F056F8" w:rsidRPr="00E14413" w:rsidP="00F056F8" w14:paraId="7BF52326" w14:textId="77777777">
      <w:pPr>
        <w:pStyle w:val="xmsonormal"/>
        <w:shd w:val="clear" w:color="auto" w:fill="FFFFFF"/>
        <w:spacing w:before="0" w:beforeAutospacing="0" w:after="0" w:afterAutospacing="0"/>
        <w:ind w:left="450" w:hanging="270"/>
        <w:textAlignment w:val="baseline"/>
        <w:rPr>
          <w:rFonts w:ascii="Arial" w:eastAsia="MS PGothic" w:hAnsi="Arial" w:cs="Arial"/>
          <w:color w:val="242424"/>
          <w:sz w:val="20"/>
          <w:szCs w:val="20"/>
        </w:rPr>
      </w:pPr>
      <w:r w:rsidRPr="00E14413">
        <w:rPr>
          <w:rFonts w:ascii="Arial" w:eastAsia="MS PGothic" w:hAnsi="Arial" w:cs="Arial"/>
          <w:color w:val="000000"/>
          <w:sz w:val="20"/>
          <w:szCs w:val="20"/>
          <w:bdr w:val="none" w:sz="0" w:space="0" w:color="auto" w:frame="1"/>
        </w:rPr>
        <w:t>4.  </w:t>
      </w:r>
      <w:r w:rsidRPr="00E14413">
        <w:rPr>
          <w:rFonts w:ascii="Arial" w:eastAsia="MS PGothic" w:hAnsi="Arial" w:cs="Arial"/>
          <w:b/>
          <w:bCs/>
          <w:color w:val="000000"/>
          <w:sz w:val="20"/>
          <w:szCs w:val="20"/>
          <w:bdr w:val="none" w:sz="0" w:space="0" w:color="auto" w:frame="1"/>
        </w:rPr>
        <w:t>Novelty of Adverse Event: </w:t>
      </w:r>
      <w:r w:rsidRPr="00E14413">
        <w:rPr>
          <w:rFonts w:ascii="Arial" w:eastAsia="MS PGothic" w:hAnsi="Arial" w:cs="Arial"/>
          <w:color w:val="000000"/>
          <w:sz w:val="20"/>
          <w:szCs w:val="20"/>
          <w:bdr w:val="none" w:sz="0" w:space="0" w:color="auto" w:frame="1"/>
        </w:rPr>
        <w:t>The serious adverse event would not have been expected from the standard treatment using currently approved therapies for the subject’s condition. However, if the side effects expected in the standard of care treatment are worsened in frequency or severity due to the research intervention, then it would be considered a research injury.</w:t>
      </w:r>
    </w:p>
    <w:p w:rsidR="00F056F8" w:rsidP="00F056F8" w14:paraId="06526E8E" w14:textId="77777777">
      <w:pPr>
        <w:ind w:left="140"/>
        <w:rPr>
          <w:spacing w:val="-2"/>
        </w:rPr>
      </w:pPr>
      <w:r>
        <w:rPr>
          <w:b/>
        </w:rPr>
        <w:t>Research</w:t>
      </w:r>
      <w:r>
        <w:rPr>
          <w:b/>
          <w:spacing w:val="-3"/>
        </w:rPr>
        <w:t xml:space="preserve"> </w:t>
      </w:r>
      <w:r>
        <w:rPr>
          <w:b/>
        </w:rPr>
        <w:t>Study</w:t>
      </w:r>
      <w:r>
        <w:rPr>
          <w:b/>
          <w:spacing w:val="-10"/>
        </w:rPr>
        <w:t xml:space="preserve"> </w:t>
      </w:r>
      <w:r>
        <w:rPr>
          <w:b/>
        </w:rPr>
        <w:t>Services</w:t>
      </w:r>
      <w:r>
        <w:rPr>
          <w:b/>
          <w:spacing w:val="-4"/>
        </w:rPr>
        <w:t xml:space="preserve"> </w:t>
      </w:r>
      <w:r>
        <w:t>(herein</w:t>
      </w:r>
      <w:r>
        <w:rPr>
          <w:spacing w:val="-6"/>
        </w:rPr>
        <w:t xml:space="preserve"> </w:t>
      </w:r>
      <w:r>
        <w:t>referred</w:t>
      </w:r>
      <w:r>
        <w:rPr>
          <w:spacing w:val="-5"/>
        </w:rPr>
        <w:t xml:space="preserve"> </w:t>
      </w:r>
      <w:r>
        <w:t>to</w:t>
      </w:r>
      <w:r>
        <w:rPr>
          <w:spacing w:val="-10"/>
        </w:rPr>
        <w:t xml:space="preserve"> </w:t>
      </w:r>
      <w:r>
        <w:t>as</w:t>
      </w:r>
      <w:r>
        <w:rPr>
          <w:spacing w:val="-3"/>
        </w:rPr>
        <w:t xml:space="preserve"> </w:t>
      </w:r>
      <w:r>
        <w:rPr>
          <w:spacing w:val="-2"/>
        </w:rPr>
        <w:t>“services”)</w:t>
      </w:r>
    </w:p>
    <w:p w:rsidR="00F056F8" w:rsidP="00F056F8" w14:paraId="2367F9E8" w14:textId="77777777">
      <w:pPr>
        <w:ind w:left="140"/>
      </w:pPr>
      <w:r>
        <w:t>Includes but is not</w:t>
      </w:r>
      <w:r>
        <w:rPr>
          <w:spacing w:val="-4"/>
        </w:rPr>
        <w:t xml:space="preserve"> </w:t>
      </w:r>
      <w:r>
        <w:t>limited</w:t>
      </w:r>
      <w:r>
        <w:rPr>
          <w:spacing w:val="-2"/>
        </w:rPr>
        <w:t xml:space="preserve"> </w:t>
      </w:r>
      <w:r>
        <w:t>to</w:t>
      </w:r>
      <w:r>
        <w:rPr>
          <w:spacing w:val="-7"/>
        </w:rPr>
        <w:t xml:space="preserve"> clinical encounters, diagnostic evaluation, and </w:t>
      </w:r>
      <w:r>
        <w:t>tests,</w:t>
      </w:r>
      <w:r>
        <w:rPr>
          <w:spacing w:val="-2"/>
        </w:rPr>
        <w:t xml:space="preserve"> </w:t>
      </w:r>
      <w:r>
        <w:t>procedures,</w:t>
      </w:r>
      <w:r>
        <w:rPr>
          <w:spacing w:val="-4"/>
        </w:rPr>
        <w:t xml:space="preserve"> </w:t>
      </w:r>
      <w:r>
        <w:t>and</w:t>
      </w:r>
      <w:r>
        <w:rPr>
          <w:spacing w:val="-2"/>
        </w:rPr>
        <w:t xml:space="preserve"> </w:t>
      </w:r>
      <w:r>
        <w:t>treatments</w:t>
      </w:r>
      <w:r>
        <w:rPr>
          <w:spacing w:val="-5"/>
        </w:rPr>
        <w:t xml:space="preserve"> </w:t>
      </w:r>
      <w:r>
        <w:t>related</w:t>
      </w:r>
      <w:r>
        <w:rPr>
          <w:spacing w:val="-2"/>
        </w:rPr>
        <w:t xml:space="preserve"> </w:t>
      </w:r>
      <w:r>
        <w:t>to</w:t>
      </w:r>
      <w:r>
        <w:rPr>
          <w:spacing w:val="-7"/>
        </w:rPr>
        <w:t xml:space="preserve"> </w:t>
      </w:r>
      <w:r>
        <w:t>the</w:t>
      </w:r>
      <w:r>
        <w:rPr>
          <w:spacing w:val="-2"/>
        </w:rPr>
        <w:t xml:space="preserve"> </w:t>
      </w:r>
      <w:r>
        <w:t>conduct of the research study.</w:t>
      </w:r>
      <w:r>
        <w:rPr>
          <w:spacing w:val="40"/>
        </w:rPr>
        <w:t xml:space="preserve"> </w:t>
      </w:r>
      <w:r>
        <w:t>These services are conducted in all clinical research trials and include studies sponsored by industry, government, and other research sponsors. The services fall into one of the following three categories:</w:t>
      </w:r>
    </w:p>
    <w:p w:rsidR="00F056F8" w:rsidP="00F056F8" w14:paraId="66EAF539" w14:textId="77777777">
      <w:pPr>
        <w:pStyle w:val="ListParagraph"/>
        <w:widowControl w:val="0"/>
        <w:numPr>
          <w:ilvl w:val="0"/>
          <w:numId w:val="16"/>
        </w:numPr>
        <w:tabs>
          <w:tab w:val="left" w:pos="1218"/>
        </w:tabs>
        <w:autoSpaceDE w:val="0"/>
        <w:autoSpaceDN w:val="0"/>
        <w:spacing w:before="0" w:after="0"/>
        <w:ind w:left="1218" w:hanging="358"/>
        <w:contextualSpacing w:val="0"/>
      </w:pPr>
      <w:r>
        <w:t>Services</w:t>
      </w:r>
      <w:r>
        <w:rPr>
          <w:spacing w:val="-4"/>
        </w:rPr>
        <w:t xml:space="preserve"> </w:t>
      </w:r>
      <w:r>
        <w:t>billed</w:t>
      </w:r>
      <w:r>
        <w:rPr>
          <w:spacing w:val="-5"/>
        </w:rPr>
        <w:t xml:space="preserve"> </w:t>
      </w:r>
      <w:r>
        <w:t>to</w:t>
      </w:r>
      <w:r>
        <w:rPr>
          <w:spacing w:val="-5"/>
        </w:rPr>
        <w:t xml:space="preserve"> </w:t>
      </w:r>
      <w:r>
        <w:t>the</w:t>
      </w:r>
      <w:r>
        <w:rPr>
          <w:spacing w:val="-5"/>
        </w:rPr>
        <w:t xml:space="preserve"> </w:t>
      </w:r>
      <w:r>
        <w:t>research</w:t>
      </w:r>
      <w:r>
        <w:rPr>
          <w:spacing w:val="-9"/>
        </w:rPr>
        <w:t xml:space="preserve"> </w:t>
      </w:r>
      <w:r>
        <w:t>study</w:t>
      </w:r>
      <w:r>
        <w:rPr>
          <w:spacing w:val="-3"/>
        </w:rPr>
        <w:t xml:space="preserve"> </w:t>
      </w:r>
      <w:r>
        <w:rPr>
          <w:spacing w:val="-2"/>
        </w:rPr>
        <w:t>sponsor;</w:t>
      </w:r>
    </w:p>
    <w:p w:rsidR="00F056F8" w:rsidP="00F056F8" w14:paraId="5ECE7188" w14:textId="77777777">
      <w:pPr>
        <w:pStyle w:val="ListParagraph"/>
        <w:widowControl w:val="0"/>
        <w:numPr>
          <w:ilvl w:val="0"/>
          <w:numId w:val="16"/>
        </w:numPr>
        <w:tabs>
          <w:tab w:val="left" w:pos="1218"/>
          <w:tab w:val="left" w:pos="1220"/>
        </w:tabs>
        <w:autoSpaceDE w:val="0"/>
        <w:autoSpaceDN w:val="0"/>
        <w:spacing w:before="1" w:after="0"/>
        <w:ind w:right="333"/>
        <w:contextualSpacing w:val="0"/>
      </w:pPr>
      <w:r w:rsidRPr="00B65273">
        <w:rPr>
          <w:u w:val="single"/>
        </w:rPr>
        <w:t>Standard</w:t>
      </w:r>
      <w:r w:rsidRPr="00B65273">
        <w:rPr>
          <w:spacing w:val="-2"/>
          <w:u w:val="single"/>
        </w:rPr>
        <w:t xml:space="preserve"> </w:t>
      </w:r>
      <w:r w:rsidRPr="00B65273">
        <w:rPr>
          <w:u w:val="single"/>
        </w:rPr>
        <w:t>of care</w:t>
      </w:r>
      <w:r w:rsidRPr="00B65273">
        <w:rPr>
          <w:spacing w:val="-7"/>
          <w:u w:val="single"/>
        </w:rPr>
        <w:t xml:space="preserve"> </w:t>
      </w:r>
      <w:r w:rsidRPr="00B65273">
        <w:rPr>
          <w:u w:val="single"/>
        </w:rPr>
        <w:t>services</w:t>
      </w:r>
      <w:r>
        <w:t xml:space="preserve"> related</w:t>
      </w:r>
      <w:r>
        <w:rPr>
          <w:spacing w:val="-7"/>
        </w:rPr>
        <w:t xml:space="preserve"> </w:t>
      </w:r>
      <w:r>
        <w:t>to</w:t>
      </w:r>
      <w:r>
        <w:rPr>
          <w:spacing w:val="-2"/>
        </w:rPr>
        <w:t xml:space="preserve"> </w:t>
      </w:r>
      <w:r>
        <w:t>the</w:t>
      </w:r>
      <w:r>
        <w:rPr>
          <w:spacing w:val="-2"/>
        </w:rPr>
        <w:t xml:space="preserve"> </w:t>
      </w:r>
      <w:r>
        <w:t>research</w:t>
      </w:r>
      <w:r>
        <w:rPr>
          <w:spacing w:val="-7"/>
        </w:rPr>
        <w:t xml:space="preserve"> </w:t>
      </w:r>
      <w:r>
        <w:t>study</w:t>
      </w:r>
      <w:r>
        <w:rPr>
          <w:spacing w:val="-5"/>
        </w:rPr>
        <w:t xml:space="preserve"> </w:t>
      </w:r>
      <w:r>
        <w:t>that</w:t>
      </w:r>
      <w:r>
        <w:rPr>
          <w:spacing w:val="-4"/>
        </w:rPr>
        <w:t xml:space="preserve"> </w:t>
      </w:r>
      <w:r>
        <w:rPr>
          <w:spacing w:val="-2"/>
        </w:rPr>
        <w:t xml:space="preserve">are </w:t>
      </w:r>
      <w:r>
        <w:t>billed</w:t>
      </w:r>
      <w:r>
        <w:rPr>
          <w:spacing w:val="-2"/>
        </w:rPr>
        <w:t xml:space="preserve"> </w:t>
      </w:r>
      <w:r>
        <w:t>to</w:t>
      </w:r>
      <w:r>
        <w:rPr>
          <w:spacing w:val="-2"/>
        </w:rPr>
        <w:t xml:space="preserve"> </w:t>
      </w:r>
      <w:r>
        <w:t>the</w:t>
      </w:r>
      <w:r>
        <w:rPr>
          <w:spacing w:val="-2"/>
        </w:rPr>
        <w:t xml:space="preserve"> </w:t>
      </w:r>
      <w:r>
        <w:t>research subjects and/or his/her insurer; and</w:t>
      </w:r>
    </w:p>
    <w:p w:rsidR="006D2A23" w:rsidP="006D2A23" w14:paraId="30E668D7" w14:textId="6BF5C323">
      <w:pPr>
        <w:pStyle w:val="ListParagraph"/>
        <w:widowControl w:val="0"/>
        <w:numPr>
          <w:ilvl w:val="0"/>
          <w:numId w:val="16"/>
        </w:numPr>
        <w:tabs>
          <w:tab w:val="left" w:pos="1218"/>
          <w:tab w:val="left" w:pos="1220"/>
        </w:tabs>
        <w:autoSpaceDE w:val="0"/>
        <w:autoSpaceDN w:val="0"/>
        <w:spacing w:before="1" w:after="0"/>
        <w:ind w:right="422"/>
        <w:contextualSpacing w:val="0"/>
      </w:pPr>
      <w:r w:rsidRPr="00B65273">
        <w:rPr>
          <w:u w:val="single"/>
        </w:rPr>
        <w:t>Unanticipated</w:t>
      </w:r>
      <w:r w:rsidRPr="00B65273">
        <w:rPr>
          <w:spacing w:val="-3"/>
          <w:u w:val="single"/>
        </w:rPr>
        <w:t xml:space="preserve"> </w:t>
      </w:r>
      <w:r>
        <w:rPr>
          <w:u w:val="single"/>
        </w:rPr>
        <w:t xml:space="preserve">clinical </w:t>
      </w:r>
      <w:r w:rsidRPr="004340BA">
        <w:t>services</w:t>
      </w:r>
      <w:r>
        <w:t xml:space="preserve"> </w:t>
      </w:r>
      <w:r w:rsidRPr="004340BA">
        <w:rPr>
          <w:spacing w:val="-2"/>
        </w:rPr>
        <w:t>beyond</w:t>
      </w:r>
      <w:r>
        <w:rPr>
          <w:spacing w:val="-2"/>
        </w:rPr>
        <w:t xml:space="preserve"> those required in the research protocol </w:t>
      </w:r>
      <w:r>
        <w:t>that</w:t>
      </w:r>
      <w:r>
        <w:rPr>
          <w:spacing w:val="-5"/>
        </w:rPr>
        <w:t xml:space="preserve"> </w:t>
      </w:r>
      <w:r w:rsidR="00075E20">
        <w:t>are covered by the patient/insurer or research sponsor in accordance with the terms of the sponsor agreement.</w:t>
      </w:r>
    </w:p>
    <w:p w:rsidR="00F056F8" w:rsidRPr="00F056F8" w:rsidP="00F056F8" w14:paraId="1250D24E" w14:textId="77777777">
      <w:pPr>
        <w:widowControl w:val="0"/>
        <w:tabs>
          <w:tab w:val="left" w:pos="1218"/>
          <w:tab w:val="left" w:pos="1220"/>
        </w:tabs>
        <w:autoSpaceDE w:val="0"/>
        <w:autoSpaceDN w:val="0"/>
        <w:spacing w:before="1" w:after="0"/>
        <w:ind w:left="860" w:right="422"/>
        <w:contextualSpacing w:val="0"/>
      </w:pPr>
    </w:p>
    <w:p w:rsidR="001B7499" w:rsidRPr="00EC53A3" w:rsidP="00003662" w14:paraId="41A0B7C7" w14:textId="77777777">
      <w:pPr>
        <w:pStyle w:val="SectionHeading"/>
        <w:rPr>
          <w:color w:val="17365D" w:themeColor="text2" w:themeShade="BF"/>
        </w:rPr>
      </w:pPr>
      <w:r w:rsidRPr="00254D6C">
        <w:rPr>
          <w:color w:val="17365D" w:themeColor="text2" w:themeShade="BF"/>
        </w:rPr>
        <w:t>Policy</w:t>
      </w:r>
      <w:r w:rsidRPr="00254D6C" w:rsidR="00AA004D">
        <w:rPr>
          <w:color w:val="17365D" w:themeColor="text2" w:themeShade="BF"/>
        </w:rPr>
        <w:t xml:space="preserve"> Sections</w:t>
      </w:r>
      <w:bookmarkEnd w:id="0"/>
      <w:r w:rsidRPr="00EC53A3" w:rsidR="002046B8">
        <w:rPr>
          <w:color w:val="17365D" w:themeColor="text2" w:themeShade="BF"/>
        </w:rPr>
        <w:t xml:space="preserve"> </w:t>
      </w:r>
      <w:bookmarkStart w:id="1" w:name="_Toc427373286"/>
      <w:bookmarkStart w:id="2" w:name="_Toc425171622"/>
      <w:bookmarkStart w:id="3" w:name="_Toc425171625"/>
    </w:p>
    <w:bookmarkEnd w:id="1"/>
    <w:bookmarkEnd w:id="2"/>
    <w:p w:rsidR="00254D6C" w:rsidRPr="000966FE" w:rsidP="00254D6C" w14:paraId="4DB72509" w14:textId="77777777">
      <w:pPr>
        <w:pStyle w:val="1-PolicySectionlevel"/>
      </w:pPr>
      <w:r>
        <w:t>Sponsored Research Studies</w:t>
      </w:r>
    </w:p>
    <w:p w:rsidR="00254D6C" w:rsidP="00254D6C" w14:paraId="061498A6" w14:textId="77777777">
      <w:r>
        <w:t>All human subjects research study agreements supported by any external entity shall be reviewed and negotiated by an appropriate Authorized Official (AO) within the Office of Sponsored Projects (OSP). OSP will ensure that the agreement contains subjects injury provisions and payment terms that reflect the institution’s preferred position.</w:t>
      </w:r>
    </w:p>
    <w:p w:rsidR="00254D6C" w:rsidP="00254D6C" w14:paraId="5F30CBA1" w14:textId="77777777"/>
    <w:p w:rsidR="00254D6C" w:rsidP="00254D6C" w14:paraId="2F426120" w14:textId="49D0FBE4">
      <w:r w:rsidRPr="00075E20">
        <w:t>As part of the agreement review and approval process and to assist in an effective clinical billing process, OSP will, upon finalization of the contract (including payment terms) and budget, distribute a final signature-ready version of the contract to the Yale Cancer Center, Yale Center for Clinical Investigations and/or the department (as applicable) for confirmation. This step can occur simultaneously with circulation for the PI’s signature.</w:t>
      </w:r>
    </w:p>
    <w:p w:rsidR="00075E20" w:rsidP="00254D6C" w14:paraId="5DED17F8" w14:textId="77777777"/>
    <w:p w:rsidR="00254D6C" w:rsidRPr="001D1F77" w:rsidP="00254D6C" w14:paraId="2094D62E" w14:textId="4CFD60EC">
      <w:r>
        <w:t>Yale University Human Research Protection Program</w:t>
      </w:r>
      <w:r w:rsidR="00C86F82">
        <w:t xml:space="preserve"> will ensure the language addressing subject injury contained in the ICF is aligned with the language in the agreement and with Yale’s position regarding subject injury coverage. Departments conducting the research are responsible for ensuring that financial terms described in the ICFs align with an accompanying budget. </w:t>
      </w:r>
      <w:r w:rsidRPr="00DB5CBE" w:rsidR="00C86F82">
        <w:t xml:space="preserve"> </w:t>
      </w:r>
      <w:bookmarkStart w:id="4" w:name="_Toc425171623"/>
    </w:p>
    <w:bookmarkEnd w:id="4"/>
    <w:p w:rsidR="00254D6C" w:rsidRPr="000966FE" w:rsidP="00254D6C" w14:paraId="08E9561E" w14:textId="77777777">
      <w:pPr>
        <w:pStyle w:val="1-PolicySectionlevel"/>
      </w:pPr>
      <w:r>
        <w:t>Medicare Coverage Analysis</w:t>
      </w:r>
    </w:p>
    <w:p w:rsidR="00C86F82" w:rsidP="00C86F82" w14:paraId="2EE6380F" w14:textId="77777777">
      <w:pPr>
        <w:pStyle w:val="1-PolicySectionlevel"/>
        <w:numPr>
          <w:ilvl w:val="0"/>
          <w:numId w:val="0"/>
        </w:numPr>
        <w:rPr>
          <w:b w:val="0"/>
          <w:bCs w:val="0"/>
        </w:rPr>
      </w:pPr>
    </w:p>
    <w:p w:rsidR="00254D6C" w:rsidP="00C86F82" w14:paraId="69343EAB" w14:textId="5D660BF9">
      <w:pPr>
        <w:pStyle w:val="1-PolicySectionlevel"/>
        <w:numPr>
          <w:ilvl w:val="0"/>
          <w:numId w:val="0"/>
        </w:numPr>
        <w:rPr>
          <w:b w:val="0"/>
          <w:bCs w:val="0"/>
        </w:rPr>
      </w:pPr>
      <w:r w:rsidRPr="00C86F82">
        <w:rPr>
          <w:b w:val="0"/>
          <w:bCs w:val="0"/>
        </w:rPr>
        <w:t>Yale requires that all human research studies that are non-exempt from IRB approvals be evaluated by the Yale Center for Clinical Investigations (hereafter referred to as YCCI) to determine if a research study is a Qualifying Clinical Trial under Medicare guidelines. Studies involving the provision of billable clinical procedures and services must undergo a Medicare Coverage Analysis. By this policy, Yale School of Medicine is requiring YCCI Central Medicare Coverage Analysis Unit, to complete a coverage an</w:t>
      </w:r>
      <w:r w:rsidRPr="00C86F82">
        <w:rPr>
          <w:b w:val="0"/>
          <w:bCs w:val="0"/>
        </w:rPr>
        <w:t>alysis on all qualifying trials in alignment with National Coverage Decision (NCD) and Local Coverage Decision (LCD). For oncology clinical research protocols, YCCI can cede the Medicare Coverage Analysis to the Yale Cancer Center (YCC). MCA decisions can be appealed by members of the study team but a determination by the Central Medicare Coverage Analysis unit of YCCI (or YCC) is the final arbiter of MCA decisions.</w:t>
      </w:r>
    </w:p>
    <w:p w:rsidR="00C86F82" w:rsidRPr="0026089D" w:rsidP="00C86F82" w14:paraId="3CEB9202" w14:textId="77777777">
      <w:pPr>
        <w:pStyle w:val="1-PolicySectionlevel"/>
        <w:numPr>
          <w:ilvl w:val="0"/>
          <w:numId w:val="0"/>
        </w:numPr>
        <w:rPr>
          <w:b w:val="0"/>
          <w:bCs w:val="0"/>
        </w:rPr>
      </w:pPr>
    </w:p>
    <w:p w:rsidR="00254D6C" w:rsidRPr="0026089D" w:rsidP="00254D6C" w14:paraId="14551A56" w14:textId="77777777">
      <w:pPr>
        <w:pStyle w:val="1-PolicySectionlevel"/>
      </w:pPr>
      <w:r>
        <w:t>Research Study Budget</w:t>
      </w:r>
    </w:p>
    <w:p w:rsidR="000A0791" w:rsidP="00254D6C" w14:paraId="2C7EB2C8" w14:textId="2608124A">
      <w:r w:rsidRPr="00C86F82">
        <w:t>Budget development requires the use of Yale Medicine, YCCI, YCC, and Yale New Haven Health System (YNHHS) research chargemaster fee schedule to ensure that the sponsor fully reimburses Yale for the costs of conducting the study. The rates for both professional and technical clinical services charged by YNHHS, YSM, Northeast Medical Group, or Greenwich Radiology should be consistent across departments and based on the Medicare rate as a reference guide</w:t>
      </w:r>
      <w:r>
        <w:t>.</w:t>
      </w:r>
    </w:p>
    <w:p w:rsidR="00C86F82" w:rsidRPr="00C86F82" w:rsidP="00C86F82" w14:paraId="6EAC5026" w14:textId="7107773B">
      <w:pPr>
        <w:pStyle w:val="1-PolicySectionlevel"/>
        <w:numPr>
          <w:ilvl w:val="0"/>
          <w:numId w:val="0"/>
        </w:numPr>
        <w:rPr>
          <w:b w:val="0"/>
          <w:bCs w:val="0"/>
        </w:rPr>
      </w:pPr>
      <w:r>
        <w:rPr>
          <w:b w:val="0"/>
          <w:bCs w:val="0"/>
        </w:rPr>
        <w:t>I</w:t>
      </w:r>
      <w:r w:rsidRPr="00C86F82">
        <w:rPr>
          <w:b w:val="0"/>
          <w:bCs w:val="0"/>
        </w:rPr>
        <w:t xml:space="preserve">n circumstances where vendors outside YM or YNHHS provide a clinical service in a research protocol, the rates for research studies must be published and negotiated prospectively in the compilation of the research budget. The rates charged by external vendors should be reviewed by the YCCI (or YCC) budgeting office to ensure that the rates comply with regulatory requirements. </w:t>
      </w:r>
    </w:p>
    <w:p w:rsidR="00C86F82" w:rsidRPr="00C86F82" w:rsidP="00C86F82" w14:paraId="638BBA83" w14:textId="77777777">
      <w:pPr>
        <w:pStyle w:val="1-PolicySectionlevel"/>
        <w:numPr>
          <w:ilvl w:val="0"/>
          <w:numId w:val="0"/>
        </w:numPr>
        <w:ind w:left="360" w:hanging="360"/>
        <w:rPr>
          <w:b w:val="0"/>
          <w:bCs w:val="0"/>
        </w:rPr>
      </w:pPr>
    </w:p>
    <w:p w:rsidR="00C86F82" w:rsidP="00C86F82" w14:paraId="3865A39B" w14:textId="77777777">
      <w:pPr>
        <w:pStyle w:val="1-PolicySectionlevel"/>
        <w:numPr>
          <w:ilvl w:val="0"/>
          <w:numId w:val="0"/>
        </w:numPr>
        <w:rPr>
          <w:b w:val="0"/>
          <w:bCs w:val="0"/>
        </w:rPr>
      </w:pPr>
      <w:r w:rsidRPr="00C86F82">
        <w:rPr>
          <w:b w:val="0"/>
          <w:bCs w:val="0"/>
        </w:rPr>
        <w:t>Final approval of the budget is the responsibility of the Principal Investigator, Departmental Business Office, and YCCI (or YCC for oncology studies) prior to execution.</w:t>
      </w:r>
    </w:p>
    <w:p w:rsidR="00C86F82" w:rsidRPr="00C86F82" w:rsidP="00C86F82" w14:paraId="488EDBEB" w14:textId="77777777">
      <w:pPr>
        <w:pStyle w:val="1-PolicySectionlevel"/>
        <w:numPr>
          <w:ilvl w:val="0"/>
          <w:numId w:val="0"/>
        </w:numPr>
      </w:pPr>
    </w:p>
    <w:p w:rsidR="00254D6C" w:rsidRPr="0026089D" w:rsidP="00C86F82" w14:paraId="5673DB84" w14:textId="46760333">
      <w:pPr>
        <w:pStyle w:val="1-PolicySectionlevel"/>
      </w:pPr>
      <w:r>
        <w:t>Research Study Financial Considerations and Liabilities</w:t>
      </w:r>
    </w:p>
    <w:p w:rsidR="00254D6C" w:rsidP="00254D6C" w14:paraId="35B946F9" w14:textId="1C66557B">
      <w:r w:rsidRPr="00213471">
        <w:t>The PI shall ensure that there is clear and consistent language in the approved protocol, ICF, and the sponsor agreement/budget regarding research related services and standard of care services (routine costs). The PI is also responsible for ensuring that the study participant is aware of the procedures and services occurring at each visit and which services will be covered by the research sponsor and under what circumstances the research subject and/or his/her insurer may have a potential financial obligat</w:t>
      </w:r>
      <w:r w:rsidRPr="00213471">
        <w:t>ion. The PI is also obligated to include in the ICF the Clinical Research Billing Unit contact information should the research subject have any billing questions.</w:t>
      </w:r>
      <w:r>
        <w:t xml:space="preserve"> </w:t>
      </w:r>
      <w:r w:rsidRPr="00C86F82">
        <w:t>In instances in which research participants continue to incur expenses for clinical care related to the study but beyond the closure of the study by the IRB or PI, the OnCore record for the study should be listed as “billing purposes only” to facilitate invoicing of sponsors or third-party payers for clinical services.</w:t>
      </w:r>
    </w:p>
    <w:p w:rsidR="00254D6C" w:rsidRPr="0026089D" w:rsidP="00254D6C" w14:paraId="1FE48724" w14:textId="77777777">
      <w:pPr>
        <w:pStyle w:val="1-PolicySectionlevel"/>
      </w:pPr>
      <w:r>
        <w:t>Billing Information and Supporting Systems</w:t>
      </w:r>
    </w:p>
    <w:p w:rsidR="000A0791" w:rsidP="00254D6C" w14:paraId="1D212AE6" w14:textId="77777777">
      <w:r>
        <w:t>All Yale research studies with billable services (including those billed as a USP service) must fulfill the following requirements described below.</w:t>
      </w:r>
    </w:p>
    <w:p w:rsidR="00C86F82" w:rsidRPr="00C86F82" w:rsidP="00C86F82" w14:paraId="0B393889" w14:textId="77777777">
      <w:pPr>
        <w:pStyle w:val="2-PolicySectionLevel"/>
      </w:pPr>
      <w:r w:rsidRPr="00C86F82">
        <w:t>Services and orders must be described and registered for research subjects in Epic to support billing for the service to research subjects, insurance, or the sponsor of the research study to promote clinical care, billing compliance, and revenue recovery.  Two exceptions to the requirement for registration and documentation in Epic are:</w:t>
      </w:r>
    </w:p>
    <w:p w:rsidR="000A0791" w:rsidP="000A0791" w14:paraId="2FFFD6A7" w14:textId="77777777">
      <w:pPr>
        <w:pStyle w:val="3-PolicySectionLevel"/>
      </w:pPr>
      <w:r>
        <w:t>not “clinical grade” and the results of which would not affect any subsequent clinical care of the subject;</w:t>
      </w:r>
    </w:p>
    <w:p w:rsidR="000A0791" w:rsidP="000A0791" w14:paraId="04DA9140" w14:textId="77777777">
      <w:pPr>
        <w:pStyle w:val="3-PolicySectionLevel"/>
      </w:pPr>
      <w:r>
        <w:t>the clinical service is rendered at an affiliated clinical site (e.g. Connecticut Mental Health Center, Department of Veterans Affairs) which does not use Epic as the electronic medical record.</w:t>
      </w:r>
    </w:p>
    <w:p w:rsidR="000A0791" w:rsidP="000A0791" w14:paraId="5002E9CA" w14:textId="77777777">
      <w:pPr>
        <w:pStyle w:val="2-PolicySectionLevel"/>
      </w:pPr>
      <w:r>
        <w:t>Use Yale’s Clinical Trial Management System (OnCore) for tracking, maintaining and monitoring research study services, and calendar, along with applicable payments or reimbursements for expenses made to study participants</w:t>
      </w:r>
    </w:p>
    <w:p w:rsidR="000A0791" w:rsidP="000A0791" w14:paraId="1ACFC44D" w14:textId="77777777">
      <w:pPr>
        <w:pStyle w:val="2-PolicySectionLevel"/>
        <w:numPr>
          <w:ilvl w:val="0"/>
          <w:numId w:val="0"/>
        </w:numPr>
        <w:ind w:left="720"/>
      </w:pPr>
    </w:p>
    <w:p w:rsidR="000A0791" w:rsidP="000A0791" w14:paraId="2FAA7040" w14:textId="77777777">
      <w:pPr>
        <w:pStyle w:val="2-PolicySectionLevel"/>
      </w:pPr>
      <w:r>
        <w:t xml:space="preserve">The PI is responsible for ensuring that, prior to the occurrence of any study visits, a study calendar for research encounters is created within OnCore and the services that will be billed to the sponsor or study account or to the research subject or third- party payer, or billed as a USP service are identified. This calendar must reflect the information contained in the protocol, ICF, and agreement, if applicable. </w:t>
      </w:r>
    </w:p>
    <w:p w:rsidR="000A0791" w:rsidP="000A0791" w14:paraId="38A11C85" w14:textId="77777777">
      <w:pPr>
        <w:pStyle w:val="2-PolicySectionLevel"/>
        <w:numPr>
          <w:ilvl w:val="0"/>
          <w:numId w:val="0"/>
        </w:numPr>
        <w:ind w:left="720"/>
      </w:pPr>
    </w:p>
    <w:p w:rsidR="000A0791" w:rsidP="00C86F82" w14:paraId="17CFE8EB" w14:textId="77777777">
      <w:pPr>
        <w:pStyle w:val="2-PolicySectionLevel"/>
        <w:numPr>
          <w:ilvl w:val="0"/>
          <w:numId w:val="0"/>
        </w:numPr>
        <w:ind w:left="720"/>
      </w:pPr>
      <w:r>
        <w:t xml:space="preserve">To avoid potential billing problems, the study team shall enter into OnCore all newly consented research participants on the day they are consented. </w:t>
      </w:r>
    </w:p>
    <w:p w:rsidR="000A0791" w:rsidP="000A0791" w14:paraId="1E27479B" w14:textId="77777777">
      <w:pPr>
        <w:pStyle w:val="2-PolicySectionLevel"/>
        <w:numPr>
          <w:ilvl w:val="0"/>
          <w:numId w:val="0"/>
        </w:numPr>
        <w:ind w:left="720"/>
      </w:pPr>
    </w:p>
    <w:p w:rsidR="000A0791" w:rsidP="00C86F82" w14:paraId="63F2BCAE" w14:textId="77777777">
      <w:pPr>
        <w:pStyle w:val="2-PolicySectionLevel"/>
        <w:numPr>
          <w:ilvl w:val="0"/>
          <w:numId w:val="0"/>
        </w:numPr>
        <w:ind w:left="720"/>
      </w:pPr>
      <w:r>
        <w:t xml:space="preserve">Subsequent visits shall be recorded within 48 hours of the visit to promote effective and efficient billing compliance. </w:t>
      </w:r>
    </w:p>
    <w:p w:rsidR="00C86F82" w:rsidP="00C86F82" w14:paraId="0087E6AE" w14:textId="77777777">
      <w:pPr>
        <w:pStyle w:val="2-PolicySectionLevel"/>
        <w:numPr>
          <w:ilvl w:val="0"/>
          <w:numId w:val="0"/>
        </w:numPr>
        <w:ind w:left="720"/>
      </w:pPr>
    </w:p>
    <w:p w:rsidR="000A0791" w:rsidP="00254D6C" w14:paraId="33188A01" w14:textId="21D842D0">
      <w:pPr>
        <w:pStyle w:val="2-PolicySectionLevel"/>
      </w:pPr>
      <w:r>
        <w:t>Participant encounters cannot commence until the protocol has been activated in OnCore</w:t>
      </w:r>
    </w:p>
    <w:p w:rsidR="000A0791" w:rsidP="000A0791" w14:paraId="4F732A25" w14:textId="77777777">
      <w:pPr>
        <w:pStyle w:val="2-PolicySectionLevel"/>
        <w:numPr>
          <w:ilvl w:val="0"/>
          <w:numId w:val="0"/>
        </w:numPr>
        <w:ind w:left="720"/>
      </w:pPr>
    </w:p>
    <w:p w:rsidR="00254D6C" w:rsidP="00254D6C" w14:paraId="1024A8DB" w14:textId="77777777">
      <w:pPr>
        <w:pStyle w:val="2-PolicySectionLevel"/>
      </w:pPr>
      <w:r>
        <w:t>Full execution of the Clinical Trial Agreement is required to invoice for a billable service.</w:t>
      </w:r>
    </w:p>
    <w:p w:rsidR="00254D6C" w:rsidRPr="0026089D" w:rsidP="00254D6C" w14:paraId="696EA41C" w14:textId="77777777">
      <w:pPr>
        <w:pStyle w:val="1-PolicySectionlevel"/>
      </w:pPr>
      <w:r>
        <w:t>Billing Compliance Quality Assurance</w:t>
      </w:r>
    </w:p>
    <w:p w:rsidR="00254D6C" w:rsidP="00254D6C" w14:paraId="549ABC1C" w14:textId="77777777">
      <w:r w:rsidRPr="002E0B5B">
        <w:t xml:space="preserve">The billing compliance framework includes quality control oversight of all research study billable clinical procedures and services. YCCI’s Clinical Research Billing Quality Assurance group is charged with this </w:t>
      </w:r>
      <w:r w:rsidRPr="002E0B5B">
        <w:t xml:space="preserve">oversight function which includes proactive protocol risk assessments and continuous monitoring of clinical trial billing compliance and charge review(s). The purpose of these ongoing reviews is to identify inconsistencies in billing of payers (e.g., research sponsor vs insurance or patient) between Yale Medicine and Yale New Haven Health System (YNHHS) Corporate Business Services, to assist in the appropriate billing for services, </w:t>
      </w:r>
      <w:r w:rsidR="00443389">
        <w:t xml:space="preserve">comply with governmental regulations, </w:t>
      </w:r>
      <w:r w:rsidRPr="002E0B5B">
        <w:t>and to facilitate communication with s</w:t>
      </w:r>
      <w:r w:rsidRPr="002E0B5B">
        <w:t>tudy participants.</w:t>
      </w:r>
    </w:p>
    <w:p w:rsidR="00254D6C" w:rsidRPr="0026089D" w:rsidP="00254D6C" w14:paraId="4F2F5444" w14:textId="77777777">
      <w:pPr>
        <w:pStyle w:val="1-PolicySectionlevel"/>
      </w:pPr>
      <w:r>
        <w:t>Injuries to Research Subjects</w:t>
      </w:r>
    </w:p>
    <w:p w:rsidR="00254D6C" w:rsidP="00254D6C" w14:paraId="65C0833A" w14:textId="77777777">
      <w:r w:rsidRPr="002E0B5B">
        <w:t>In the event of the potential injury to research subjects, the Principal Investigator (PI) is responsible for initial assessment and documentation of the injury. The PI will communicate with the sponsor and relevant parties at Yale and provide necessary documentation related to the injury. The PI in collaboration with the sponsor will determine whether the adverse event is considered a research injury. When an event is determined to be subject injury, YCCI/YCC will invoice the sponsor for payment in accorda</w:t>
      </w:r>
      <w:r w:rsidRPr="002E0B5B">
        <w:t>nce with the agreement and perform the necessary follow up to ensure payment according to the terms of the clinical trial agreement (CTA) between Yale and the sponsor.</w:t>
      </w:r>
    </w:p>
    <w:p w:rsidR="00254D6C" w:rsidRPr="0026089D" w:rsidP="00254D6C" w14:paraId="25772FB3" w14:textId="77777777">
      <w:pPr>
        <w:pStyle w:val="1-PolicySectionlevel"/>
      </w:pPr>
      <w:r>
        <w:t>Clinical Trials.gov Registration</w:t>
      </w:r>
    </w:p>
    <w:p w:rsidR="00254D6C" w:rsidP="00254D6C" w14:paraId="686DA185" w14:textId="77777777">
      <w:r>
        <w:t>Medicare may pay for research study services under three policies: (1) the Clinical Trial Policy (CTP), (2) the Investigational Device Exemption (IDE) policy, and (3) the Coverage with Evidence Development (CED).</w:t>
      </w:r>
    </w:p>
    <w:p w:rsidR="00254D6C" w:rsidP="00254D6C" w14:paraId="50DA4DB2" w14:textId="77777777">
      <w:r>
        <w:t xml:space="preserve"> </w:t>
      </w:r>
    </w:p>
    <w:p w:rsidR="00254D6C" w:rsidP="00254D6C" w14:paraId="61E39275" w14:textId="77777777">
      <w:r>
        <w:t>In order for Medicare to pay for services under these policies, the study must be registered in ClinicalTrials.gov and a National Clinical Trial (NCT number) identifier assigned. The NCT number should appear for any research subject in a recruiting, active, or not recruiting clinical trial for any services being billed to Medicare.</w:t>
      </w:r>
    </w:p>
    <w:p w:rsidR="00254D6C" w:rsidRPr="0026089D" w:rsidP="00254D6C" w14:paraId="727688D0" w14:textId="77777777">
      <w:pPr>
        <w:pStyle w:val="1-PolicySectionlevel"/>
      </w:pPr>
      <w:r>
        <w:t>Record Retention</w:t>
      </w:r>
    </w:p>
    <w:p w:rsidR="009315D0" w:rsidRPr="00254D6C" w:rsidP="00254D6C" w14:paraId="486B8C7F" w14:textId="77777777">
      <w:r w:rsidRPr="002E0B5B">
        <w:t>All records related to clinical services and billing are to be documented and stored in Epic, the Clinical Trial Management Software (OnCore) and Workday. At clinical sites that do not use the Epic medical record system, the electronic medical record at the site must be used to facilitate electronic data capture.</w:t>
      </w:r>
    </w:p>
    <w:p w:rsidR="00EB4DAD" w:rsidRPr="00EC53A3" w:rsidP="00003662" w14:paraId="60F9C491" w14:textId="77777777">
      <w:pPr>
        <w:pStyle w:val="SectionHeading"/>
        <w:rPr>
          <w:color w:val="17365D" w:themeColor="text2" w:themeShade="BF"/>
          <w:sz w:val="20"/>
        </w:rPr>
      </w:pPr>
      <w:r w:rsidRPr="00EC53A3">
        <w:rPr>
          <w:color w:val="17365D" w:themeColor="text2" w:themeShade="BF"/>
        </w:rPr>
        <w:t>Special Situations &amp; Exceptions</w:t>
      </w:r>
    </w:p>
    <w:p w:rsidR="00D64C00" w:rsidP="00D64C00" w14:paraId="68F6E61C" w14:textId="77777777">
      <w:r>
        <w:rPr>
          <w:rStyle w:val="normaltextrun"/>
          <w:rFonts w:cs="Arial"/>
          <w:color w:val="000000"/>
          <w:shd w:val="clear" w:color="auto" w:fill="FFFFFF"/>
        </w:rPr>
        <w:t xml:space="preserve">Exceptions to this policy must be documented using the </w:t>
      </w:r>
      <w:hyperlink r:id="rId10" w:history="1">
        <w:r w:rsidRPr="00511D91">
          <w:rPr>
            <w:rStyle w:val="Hyperlink"/>
            <w:rFonts w:cs="Arial"/>
            <w:shd w:val="clear" w:color="auto" w:fill="FFFFFF"/>
          </w:rPr>
          <w:t>YSM Policy/ Procedure/ Guideline Exception Request - Form</w:t>
        </w:r>
      </w:hyperlink>
      <w:r>
        <w:rPr>
          <w:rStyle w:val="normaltextrun"/>
          <w:rFonts w:cs="Arial"/>
          <w:color w:val="000000"/>
          <w:shd w:val="clear" w:color="auto" w:fill="FFFFFF"/>
        </w:rPr>
        <w:t xml:space="preserve"> and presented to </w:t>
      </w:r>
      <w:hyperlink r:id="rId11" w:history="1">
        <w:r w:rsidRPr="0014354B">
          <w:rPr>
            <w:rStyle w:val="Hyperlink"/>
            <w:rFonts w:cs="Arial"/>
            <w:shd w:val="clear" w:color="auto" w:fill="FFFFFF"/>
          </w:rPr>
          <w:t>ysmcontroller@yale.edu</w:t>
        </w:r>
      </w:hyperlink>
    </w:p>
    <w:p w:rsidR="009315D0" w:rsidRPr="00EC53A3" w:rsidP="00003662" w14:paraId="62E6AE8A" w14:textId="77777777">
      <w:pPr>
        <w:pStyle w:val="SectionHeading"/>
        <w:rPr>
          <w:rFonts w:eastAsia="Arial"/>
          <w:color w:val="17365D" w:themeColor="text2" w:themeShade="BF"/>
        </w:rPr>
      </w:pPr>
      <w:r w:rsidRPr="00EC53A3">
        <w:rPr>
          <w:color w:val="17365D" w:themeColor="text2" w:themeShade="BF"/>
        </w:rPr>
        <w:t>Roles &amp; Responsibilities</w:t>
      </w:r>
      <w:bookmarkEnd w:id="3"/>
    </w:p>
    <w:p w:rsidR="007D358A" w:rsidP="007D358A" w14:paraId="46C2D354" w14:textId="77777777">
      <w:pPr>
        <w:rPr>
          <w:rStyle w:val="Strong"/>
          <w:rFonts w:cs="Arial"/>
        </w:rPr>
      </w:pPr>
      <w:r>
        <w:rPr>
          <w:rStyle w:val="Strong"/>
          <w:rFonts w:cs="Arial"/>
        </w:rPr>
        <w:t>Human Research Protection Program</w:t>
      </w:r>
    </w:p>
    <w:p w:rsidR="00F056F8" w:rsidP="00F056F8" w14:paraId="3B320646" w14:textId="77777777">
      <w:pPr>
        <w:pStyle w:val="ListParagraph"/>
        <w:widowControl w:val="0"/>
        <w:numPr>
          <w:ilvl w:val="0"/>
          <w:numId w:val="13"/>
        </w:numPr>
        <w:tabs>
          <w:tab w:val="left" w:pos="860"/>
        </w:tabs>
        <w:autoSpaceDE w:val="0"/>
        <w:autoSpaceDN w:val="0"/>
        <w:spacing w:before="11" w:after="0"/>
        <w:ind w:right="141"/>
        <w:contextualSpacing w:val="0"/>
      </w:pPr>
      <w:r>
        <w:t>Ensures</w:t>
      </w:r>
      <w:r>
        <w:rPr>
          <w:spacing w:val="-2"/>
        </w:rPr>
        <w:t xml:space="preserve"> </w:t>
      </w:r>
      <w:r>
        <w:t>that</w:t>
      </w:r>
      <w:r>
        <w:rPr>
          <w:spacing w:val="-6"/>
        </w:rPr>
        <w:t xml:space="preserve"> </w:t>
      </w:r>
      <w:r>
        <w:t>IRB</w:t>
      </w:r>
      <w:r>
        <w:rPr>
          <w:spacing w:val="-7"/>
        </w:rPr>
        <w:t xml:space="preserve"> </w:t>
      </w:r>
      <w:r>
        <w:t>policies,</w:t>
      </w:r>
      <w:r>
        <w:rPr>
          <w:spacing w:val="-1"/>
        </w:rPr>
        <w:t xml:space="preserve"> </w:t>
      </w:r>
      <w:r>
        <w:t>procedures</w:t>
      </w:r>
      <w:r>
        <w:rPr>
          <w:spacing w:val="-2"/>
        </w:rPr>
        <w:t xml:space="preserve"> </w:t>
      </w:r>
      <w:r>
        <w:t>and</w:t>
      </w:r>
      <w:r>
        <w:rPr>
          <w:spacing w:val="-4"/>
        </w:rPr>
        <w:t xml:space="preserve"> </w:t>
      </w:r>
      <w:r>
        <w:t>practices</w:t>
      </w:r>
      <w:r>
        <w:rPr>
          <w:spacing w:val="-2"/>
        </w:rPr>
        <w:t xml:space="preserve"> </w:t>
      </w:r>
      <w:r>
        <w:t>are</w:t>
      </w:r>
      <w:r>
        <w:rPr>
          <w:spacing w:val="-4"/>
        </w:rPr>
        <w:t xml:space="preserve"> </w:t>
      </w:r>
      <w:r>
        <w:t>compliant</w:t>
      </w:r>
      <w:r>
        <w:rPr>
          <w:spacing w:val="-1"/>
        </w:rPr>
        <w:t xml:space="preserve"> </w:t>
      </w:r>
      <w:r>
        <w:t>with</w:t>
      </w:r>
      <w:r>
        <w:rPr>
          <w:spacing w:val="-4"/>
        </w:rPr>
        <w:t xml:space="preserve"> </w:t>
      </w:r>
      <w:r>
        <w:t>University</w:t>
      </w:r>
      <w:r>
        <w:rPr>
          <w:spacing w:val="-2"/>
        </w:rPr>
        <w:t xml:space="preserve"> </w:t>
      </w:r>
      <w:r>
        <w:t>policies,</w:t>
      </w:r>
      <w:r>
        <w:rPr>
          <w:spacing w:val="-6"/>
        </w:rPr>
        <w:t xml:space="preserve"> </w:t>
      </w:r>
      <w:r>
        <w:t>federal regulation and state law requirements.</w:t>
      </w:r>
    </w:p>
    <w:p w:rsidR="00F056F8" w:rsidP="00F056F8" w14:paraId="09276D38" w14:textId="77777777">
      <w:pPr>
        <w:pStyle w:val="ListParagraph"/>
        <w:widowControl w:val="0"/>
        <w:numPr>
          <w:ilvl w:val="0"/>
          <w:numId w:val="13"/>
        </w:numPr>
        <w:tabs>
          <w:tab w:val="left" w:pos="860"/>
        </w:tabs>
        <w:autoSpaceDE w:val="0"/>
        <w:autoSpaceDN w:val="0"/>
        <w:spacing w:before="11" w:after="0"/>
        <w:ind w:right="141"/>
        <w:contextualSpacing w:val="0"/>
      </w:pPr>
      <w:r w:rsidRPr="007D30C9">
        <w:t>Ensures that the subject injury provisions described in the ICFs are consistent with the agreement</w:t>
      </w:r>
      <w:r>
        <w:t>.</w:t>
      </w:r>
    </w:p>
    <w:p w:rsidR="00F056F8" w:rsidP="00F056F8" w14:paraId="4895C340" w14:textId="77777777">
      <w:pPr>
        <w:pStyle w:val="ListParagraph"/>
        <w:widowControl w:val="0"/>
        <w:numPr>
          <w:ilvl w:val="0"/>
          <w:numId w:val="13"/>
        </w:numPr>
        <w:tabs>
          <w:tab w:val="left" w:pos="860"/>
        </w:tabs>
        <w:autoSpaceDE w:val="0"/>
        <w:autoSpaceDN w:val="0"/>
        <w:spacing w:before="7" w:after="0" w:line="232" w:lineRule="auto"/>
        <w:ind w:right="1048"/>
        <w:contextualSpacing w:val="0"/>
      </w:pPr>
      <w:r>
        <w:t>Provides</w:t>
      </w:r>
      <w:r>
        <w:rPr>
          <w:spacing w:val="-2"/>
        </w:rPr>
        <w:t xml:space="preserve"> </w:t>
      </w:r>
      <w:r>
        <w:t>guidance</w:t>
      </w:r>
      <w:r>
        <w:rPr>
          <w:spacing w:val="-4"/>
        </w:rPr>
        <w:t xml:space="preserve"> </w:t>
      </w:r>
      <w:r>
        <w:t>to</w:t>
      </w:r>
      <w:r>
        <w:rPr>
          <w:spacing w:val="-4"/>
        </w:rPr>
        <w:t xml:space="preserve"> </w:t>
      </w:r>
      <w:r>
        <w:t>the</w:t>
      </w:r>
      <w:r>
        <w:rPr>
          <w:spacing w:val="-4"/>
        </w:rPr>
        <w:t xml:space="preserve"> </w:t>
      </w:r>
      <w:r>
        <w:t>IRBs</w:t>
      </w:r>
      <w:r>
        <w:rPr>
          <w:spacing w:val="-2"/>
        </w:rPr>
        <w:t xml:space="preserve"> </w:t>
      </w:r>
      <w:r>
        <w:t>on</w:t>
      </w:r>
      <w:r>
        <w:rPr>
          <w:spacing w:val="-4"/>
        </w:rPr>
        <w:t xml:space="preserve"> </w:t>
      </w:r>
      <w:r>
        <w:t>emergent</w:t>
      </w:r>
      <w:r>
        <w:rPr>
          <w:spacing w:val="-6"/>
        </w:rPr>
        <w:t xml:space="preserve"> </w:t>
      </w:r>
      <w:r>
        <w:t>issues</w:t>
      </w:r>
      <w:r>
        <w:rPr>
          <w:spacing w:val="-2"/>
        </w:rPr>
        <w:t xml:space="preserve"> </w:t>
      </w:r>
      <w:r>
        <w:t>and</w:t>
      </w:r>
      <w:r>
        <w:rPr>
          <w:spacing w:val="-4"/>
        </w:rPr>
        <w:t xml:space="preserve"> </w:t>
      </w:r>
      <w:r>
        <w:t>ensures</w:t>
      </w:r>
      <w:r>
        <w:rPr>
          <w:spacing w:val="-2"/>
        </w:rPr>
        <w:t xml:space="preserve"> </w:t>
      </w:r>
      <w:r>
        <w:t>consistency</w:t>
      </w:r>
      <w:r>
        <w:rPr>
          <w:spacing w:val="-2"/>
        </w:rPr>
        <w:t xml:space="preserve"> </w:t>
      </w:r>
      <w:r>
        <w:t>across</w:t>
      </w:r>
      <w:r>
        <w:rPr>
          <w:spacing w:val="-7"/>
        </w:rPr>
        <w:t xml:space="preserve"> </w:t>
      </w:r>
      <w:r>
        <w:t>the University IRBs.</w:t>
      </w:r>
    </w:p>
    <w:p w:rsidR="00F056F8" w:rsidP="00F056F8" w14:paraId="34705A26" w14:textId="77777777">
      <w:pPr>
        <w:widowControl w:val="0"/>
        <w:tabs>
          <w:tab w:val="left" w:pos="860"/>
        </w:tabs>
        <w:autoSpaceDE w:val="0"/>
        <w:autoSpaceDN w:val="0"/>
        <w:spacing w:before="7" w:after="0" w:line="232" w:lineRule="auto"/>
        <w:ind w:right="1048"/>
        <w:contextualSpacing w:val="0"/>
      </w:pPr>
    </w:p>
    <w:p w:rsidR="007D358A" w:rsidRPr="000E350A" w:rsidP="007D358A" w14:paraId="553F2CDC" w14:textId="77777777">
      <w:r w:rsidRPr="00F056F8">
        <w:rPr>
          <w:rStyle w:val="Strong"/>
          <w:rFonts w:cs="Arial"/>
        </w:rPr>
        <w:t>Institutional Review Board</w:t>
      </w:r>
    </w:p>
    <w:p w:rsidR="00F056F8" w:rsidP="00F056F8" w14:paraId="73A8D194" w14:textId="77777777">
      <w:pPr>
        <w:pStyle w:val="ListParagraph"/>
        <w:widowControl w:val="0"/>
        <w:numPr>
          <w:ilvl w:val="0"/>
          <w:numId w:val="14"/>
        </w:numPr>
        <w:tabs>
          <w:tab w:val="left" w:pos="859"/>
        </w:tabs>
        <w:autoSpaceDE w:val="0"/>
        <w:autoSpaceDN w:val="0"/>
        <w:spacing w:before="11" w:after="0" w:line="243" w:lineRule="exact"/>
        <w:contextualSpacing w:val="0"/>
      </w:pPr>
      <w:r>
        <w:t>Reviews,</w:t>
      </w:r>
      <w:r>
        <w:rPr>
          <w:spacing w:val="-9"/>
        </w:rPr>
        <w:t xml:space="preserve"> </w:t>
      </w:r>
      <w:r>
        <w:t>approves,</w:t>
      </w:r>
      <w:r>
        <w:rPr>
          <w:spacing w:val="-7"/>
        </w:rPr>
        <w:t xml:space="preserve"> </w:t>
      </w:r>
      <w:r>
        <w:t>and</w:t>
      </w:r>
      <w:r>
        <w:rPr>
          <w:spacing w:val="-9"/>
        </w:rPr>
        <w:t xml:space="preserve"> </w:t>
      </w:r>
      <w:r>
        <w:t>provides</w:t>
      </w:r>
      <w:r>
        <w:rPr>
          <w:spacing w:val="-7"/>
        </w:rPr>
        <w:t xml:space="preserve"> </w:t>
      </w:r>
      <w:r>
        <w:t>continuing</w:t>
      </w:r>
      <w:r>
        <w:rPr>
          <w:spacing w:val="-10"/>
        </w:rPr>
        <w:t xml:space="preserve"> </w:t>
      </w:r>
      <w:r>
        <w:t>oversight</w:t>
      </w:r>
      <w:r>
        <w:rPr>
          <w:spacing w:val="-10"/>
        </w:rPr>
        <w:t xml:space="preserve"> </w:t>
      </w:r>
      <w:r>
        <w:t>of</w:t>
      </w:r>
      <w:r>
        <w:rPr>
          <w:spacing w:val="-7"/>
        </w:rPr>
        <w:t xml:space="preserve"> </w:t>
      </w:r>
      <w:r>
        <w:t>research</w:t>
      </w:r>
      <w:r>
        <w:rPr>
          <w:spacing w:val="-9"/>
        </w:rPr>
        <w:t xml:space="preserve"> </w:t>
      </w:r>
      <w:r>
        <w:t>involving</w:t>
      </w:r>
      <w:r>
        <w:rPr>
          <w:spacing w:val="-9"/>
        </w:rPr>
        <w:t xml:space="preserve"> </w:t>
      </w:r>
      <w:r>
        <w:t>human</w:t>
      </w:r>
      <w:r>
        <w:rPr>
          <w:spacing w:val="-9"/>
        </w:rPr>
        <w:t xml:space="preserve"> </w:t>
      </w:r>
      <w:r>
        <w:rPr>
          <w:spacing w:val="-2"/>
        </w:rPr>
        <w:t>subjects.</w:t>
      </w:r>
    </w:p>
    <w:p w:rsidR="00F056F8" w:rsidP="00F056F8" w14:paraId="2E7D1CEB" w14:textId="77777777">
      <w:pPr>
        <w:pStyle w:val="ListParagraph"/>
        <w:widowControl w:val="0"/>
        <w:numPr>
          <w:ilvl w:val="0"/>
          <w:numId w:val="14"/>
        </w:numPr>
        <w:tabs>
          <w:tab w:val="left" w:pos="859"/>
        </w:tabs>
        <w:autoSpaceDE w:val="0"/>
        <w:autoSpaceDN w:val="0"/>
        <w:spacing w:before="0" w:after="0" w:line="242" w:lineRule="exact"/>
        <w:contextualSpacing w:val="0"/>
      </w:pPr>
      <w:r>
        <w:t>Ensures</w:t>
      </w:r>
      <w:r>
        <w:rPr>
          <w:spacing w:val="-8"/>
        </w:rPr>
        <w:t xml:space="preserve"> </w:t>
      </w:r>
      <w:r>
        <w:t>the</w:t>
      </w:r>
      <w:r>
        <w:rPr>
          <w:spacing w:val="-7"/>
        </w:rPr>
        <w:t xml:space="preserve"> </w:t>
      </w:r>
      <w:r>
        <w:t>protocol</w:t>
      </w:r>
      <w:r>
        <w:rPr>
          <w:spacing w:val="-7"/>
        </w:rPr>
        <w:t xml:space="preserve"> </w:t>
      </w:r>
      <w:r>
        <w:t>and</w:t>
      </w:r>
      <w:r>
        <w:rPr>
          <w:spacing w:val="-12"/>
        </w:rPr>
        <w:t xml:space="preserve"> </w:t>
      </w:r>
      <w:r>
        <w:t>ICF</w:t>
      </w:r>
      <w:r>
        <w:rPr>
          <w:spacing w:val="-8"/>
        </w:rPr>
        <w:t xml:space="preserve"> </w:t>
      </w:r>
      <w:r>
        <w:t>adequately</w:t>
      </w:r>
      <w:r>
        <w:rPr>
          <w:spacing w:val="-5"/>
        </w:rPr>
        <w:t xml:space="preserve"> </w:t>
      </w:r>
      <w:r>
        <w:t>describe</w:t>
      </w:r>
      <w:r>
        <w:rPr>
          <w:spacing w:val="-7"/>
        </w:rPr>
        <w:t xml:space="preserve"> </w:t>
      </w:r>
      <w:r>
        <w:t>financial</w:t>
      </w:r>
      <w:r>
        <w:rPr>
          <w:spacing w:val="-7"/>
        </w:rPr>
        <w:t xml:space="preserve"> </w:t>
      </w:r>
      <w:r>
        <w:rPr>
          <w:spacing w:val="-2"/>
        </w:rPr>
        <w:t>obligations.</w:t>
      </w:r>
    </w:p>
    <w:p w:rsidR="007D358A" w:rsidP="00F056F8" w14:paraId="10CB2A7B" w14:textId="77777777">
      <w:pPr>
        <w:pStyle w:val="ListParagraph"/>
        <w:widowControl w:val="0"/>
        <w:numPr>
          <w:ilvl w:val="0"/>
          <w:numId w:val="14"/>
        </w:numPr>
        <w:tabs>
          <w:tab w:val="left" w:pos="860"/>
        </w:tabs>
        <w:autoSpaceDE w:val="0"/>
        <w:autoSpaceDN w:val="0"/>
        <w:spacing w:before="0" w:after="0"/>
        <w:ind w:right="347"/>
        <w:contextualSpacing w:val="0"/>
      </w:pPr>
      <w:r>
        <w:t>Ensures</w:t>
      </w:r>
      <w:r>
        <w:rPr>
          <w:spacing w:val="-1"/>
        </w:rPr>
        <w:t xml:space="preserve"> </w:t>
      </w:r>
      <w:r>
        <w:t>the</w:t>
      </w:r>
      <w:r>
        <w:rPr>
          <w:spacing w:val="-3"/>
        </w:rPr>
        <w:t xml:space="preserve"> </w:t>
      </w:r>
      <w:r>
        <w:t>protection</w:t>
      </w:r>
      <w:r>
        <w:rPr>
          <w:spacing w:val="-3"/>
        </w:rPr>
        <w:t xml:space="preserve"> </w:t>
      </w:r>
      <w:r>
        <w:t>of human</w:t>
      </w:r>
      <w:r>
        <w:rPr>
          <w:spacing w:val="-3"/>
        </w:rPr>
        <w:t xml:space="preserve"> </w:t>
      </w:r>
      <w:r>
        <w:t>subjects</w:t>
      </w:r>
      <w:r>
        <w:rPr>
          <w:spacing w:val="-6"/>
        </w:rPr>
        <w:t xml:space="preserve"> </w:t>
      </w:r>
      <w:r>
        <w:t>in</w:t>
      </w:r>
      <w:r>
        <w:rPr>
          <w:spacing w:val="-3"/>
        </w:rPr>
        <w:t xml:space="preserve"> </w:t>
      </w:r>
      <w:r>
        <w:t>the</w:t>
      </w:r>
      <w:r>
        <w:rPr>
          <w:spacing w:val="-3"/>
        </w:rPr>
        <w:t xml:space="preserve"> </w:t>
      </w:r>
      <w:r>
        <w:t>design</w:t>
      </w:r>
      <w:r>
        <w:rPr>
          <w:spacing w:val="-8"/>
        </w:rPr>
        <w:t xml:space="preserve"> </w:t>
      </w:r>
      <w:r>
        <w:t>and</w:t>
      </w:r>
      <w:r>
        <w:rPr>
          <w:spacing w:val="-3"/>
        </w:rPr>
        <w:t xml:space="preserve"> </w:t>
      </w:r>
      <w:r>
        <w:t>conduct of</w:t>
      </w:r>
      <w:r>
        <w:rPr>
          <w:spacing w:val="-5"/>
        </w:rPr>
        <w:t xml:space="preserve"> </w:t>
      </w:r>
      <w:r>
        <w:t>human</w:t>
      </w:r>
      <w:r>
        <w:rPr>
          <w:spacing w:val="-3"/>
        </w:rPr>
        <w:t xml:space="preserve"> </w:t>
      </w:r>
      <w:r>
        <w:t>subject research through dissemination of guidance, training and monitoring activities.</w:t>
      </w:r>
    </w:p>
    <w:p w:rsidR="00F056F8" w:rsidRPr="000E350A" w:rsidP="00F056F8" w14:paraId="5D29729E" w14:textId="77777777">
      <w:r>
        <w:rPr>
          <w:rStyle w:val="Strong"/>
          <w:rFonts w:cs="Arial"/>
        </w:rPr>
        <w:t>Office of Sponsored Projects</w:t>
      </w:r>
    </w:p>
    <w:p w:rsidR="00F056F8" w:rsidP="00F056F8" w14:paraId="1A1F119C" w14:textId="77777777">
      <w:pPr>
        <w:pStyle w:val="ListParagraph"/>
        <w:widowControl w:val="0"/>
        <w:numPr>
          <w:ilvl w:val="0"/>
          <w:numId w:val="14"/>
        </w:numPr>
        <w:tabs>
          <w:tab w:val="left" w:pos="860"/>
        </w:tabs>
        <w:autoSpaceDE w:val="0"/>
        <w:autoSpaceDN w:val="0"/>
        <w:spacing w:before="11" w:after="0"/>
        <w:ind w:right="605"/>
        <w:contextualSpacing w:val="0"/>
      </w:pPr>
      <w:r>
        <w:t>Structures</w:t>
      </w:r>
      <w:r>
        <w:rPr>
          <w:spacing w:val="-7"/>
        </w:rPr>
        <w:t xml:space="preserve"> </w:t>
      </w:r>
      <w:r>
        <w:t>relationships</w:t>
      </w:r>
      <w:r>
        <w:rPr>
          <w:spacing w:val="-3"/>
        </w:rPr>
        <w:t xml:space="preserve"> </w:t>
      </w:r>
      <w:r>
        <w:t>and</w:t>
      </w:r>
      <w:r>
        <w:rPr>
          <w:spacing w:val="-5"/>
        </w:rPr>
        <w:t xml:space="preserve"> </w:t>
      </w:r>
      <w:r>
        <w:t>negotiates</w:t>
      </w:r>
      <w:r>
        <w:rPr>
          <w:spacing w:val="-3"/>
        </w:rPr>
        <w:t xml:space="preserve"> </w:t>
      </w:r>
      <w:r>
        <w:t>agreements</w:t>
      </w:r>
      <w:r>
        <w:rPr>
          <w:spacing w:val="-3"/>
        </w:rPr>
        <w:t xml:space="preserve"> </w:t>
      </w:r>
      <w:r>
        <w:t>with</w:t>
      </w:r>
      <w:r>
        <w:rPr>
          <w:spacing w:val="-5"/>
        </w:rPr>
        <w:t xml:space="preserve"> </w:t>
      </w:r>
      <w:r>
        <w:t>external</w:t>
      </w:r>
      <w:r>
        <w:rPr>
          <w:spacing w:val="-5"/>
        </w:rPr>
        <w:t xml:space="preserve"> </w:t>
      </w:r>
      <w:r>
        <w:t>parties</w:t>
      </w:r>
      <w:r>
        <w:rPr>
          <w:spacing w:val="-3"/>
        </w:rPr>
        <w:t xml:space="preserve"> </w:t>
      </w:r>
      <w:r>
        <w:t>funding</w:t>
      </w:r>
      <w:r>
        <w:rPr>
          <w:spacing w:val="-5"/>
        </w:rPr>
        <w:t xml:space="preserve"> </w:t>
      </w:r>
      <w:r>
        <w:t>research</w:t>
      </w:r>
      <w:r>
        <w:rPr>
          <w:spacing w:val="-5"/>
        </w:rPr>
        <w:t xml:space="preserve"> </w:t>
      </w:r>
      <w:r>
        <w:t>at Yale, such as federal agencies, foundations, and for-profit corporations.</w:t>
      </w:r>
    </w:p>
    <w:p w:rsidR="00F056F8" w:rsidP="00F056F8" w14:paraId="34F34AF7" w14:textId="77777777">
      <w:pPr>
        <w:pStyle w:val="ListParagraph"/>
        <w:widowControl w:val="0"/>
        <w:numPr>
          <w:ilvl w:val="0"/>
          <w:numId w:val="14"/>
        </w:numPr>
        <w:tabs>
          <w:tab w:val="left" w:pos="860"/>
        </w:tabs>
        <w:autoSpaceDE w:val="0"/>
        <w:autoSpaceDN w:val="0"/>
        <w:spacing w:before="0" w:after="0"/>
        <w:ind w:right="230"/>
        <w:contextualSpacing w:val="0"/>
      </w:pPr>
      <w:r>
        <w:t>Ensures</w:t>
      </w:r>
      <w:r>
        <w:rPr>
          <w:spacing w:val="-3"/>
        </w:rPr>
        <w:t xml:space="preserve"> </w:t>
      </w:r>
      <w:r>
        <w:t>agreements</w:t>
      </w:r>
      <w:r>
        <w:rPr>
          <w:spacing w:val="-3"/>
        </w:rPr>
        <w:t xml:space="preserve"> </w:t>
      </w:r>
      <w:r>
        <w:t>are</w:t>
      </w:r>
      <w:r>
        <w:rPr>
          <w:spacing w:val="-4"/>
        </w:rPr>
        <w:t xml:space="preserve"> </w:t>
      </w:r>
      <w:r>
        <w:t>consistent</w:t>
      </w:r>
      <w:r>
        <w:rPr>
          <w:spacing w:val="-2"/>
        </w:rPr>
        <w:t xml:space="preserve"> </w:t>
      </w:r>
      <w:r>
        <w:t>with</w:t>
      </w:r>
      <w:r>
        <w:rPr>
          <w:spacing w:val="-4"/>
        </w:rPr>
        <w:t xml:space="preserve"> </w:t>
      </w:r>
      <w:r>
        <w:t>University</w:t>
      </w:r>
      <w:r>
        <w:rPr>
          <w:spacing w:val="-3"/>
        </w:rPr>
        <w:t xml:space="preserve"> </w:t>
      </w:r>
      <w:r>
        <w:t>requirements</w:t>
      </w:r>
      <w:r>
        <w:rPr>
          <w:spacing w:val="-3"/>
        </w:rPr>
        <w:t xml:space="preserve"> </w:t>
      </w:r>
      <w:r>
        <w:t>related</w:t>
      </w:r>
      <w:r>
        <w:rPr>
          <w:spacing w:val="-4"/>
        </w:rPr>
        <w:t xml:space="preserve"> </w:t>
      </w:r>
      <w:r>
        <w:t>to</w:t>
      </w:r>
      <w:r>
        <w:rPr>
          <w:spacing w:val="-9"/>
        </w:rPr>
        <w:t xml:space="preserve"> </w:t>
      </w:r>
      <w:r>
        <w:t>the</w:t>
      </w:r>
      <w:r>
        <w:rPr>
          <w:spacing w:val="-4"/>
        </w:rPr>
        <w:t xml:space="preserve"> </w:t>
      </w:r>
      <w:r>
        <w:t>ethical</w:t>
      </w:r>
      <w:r>
        <w:rPr>
          <w:spacing w:val="-4"/>
        </w:rPr>
        <w:t xml:space="preserve"> </w:t>
      </w:r>
      <w:r>
        <w:t>conduct</w:t>
      </w:r>
      <w:r>
        <w:rPr>
          <w:spacing w:val="-2"/>
        </w:rPr>
        <w:t xml:space="preserve"> </w:t>
      </w:r>
      <w:r>
        <w:t xml:space="preserve">of </w:t>
      </w:r>
      <w:r>
        <w:rPr>
          <w:spacing w:val="-2"/>
        </w:rPr>
        <w:t>research.</w:t>
      </w:r>
    </w:p>
    <w:p w:rsidR="00F056F8" w:rsidP="00F056F8" w14:paraId="748FAF88" w14:textId="77777777">
      <w:pPr>
        <w:pStyle w:val="ListParagraph"/>
        <w:widowControl w:val="0"/>
        <w:numPr>
          <w:ilvl w:val="0"/>
          <w:numId w:val="14"/>
        </w:numPr>
        <w:tabs>
          <w:tab w:val="left" w:pos="860"/>
        </w:tabs>
        <w:autoSpaceDE w:val="0"/>
        <w:autoSpaceDN w:val="0"/>
        <w:spacing w:before="0" w:after="0"/>
        <w:ind w:right="371"/>
        <w:contextualSpacing w:val="0"/>
      </w:pPr>
      <w:r>
        <w:t>Ensures</w:t>
      </w:r>
      <w:r>
        <w:rPr>
          <w:spacing w:val="-1"/>
        </w:rPr>
        <w:t xml:space="preserve"> </w:t>
      </w:r>
      <w:r>
        <w:t>that</w:t>
      </w:r>
      <w:r>
        <w:rPr>
          <w:spacing w:val="-5"/>
        </w:rPr>
        <w:t xml:space="preserve"> </w:t>
      </w:r>
      <w:r>
        <w:t>research</w:t>
      </w:r>
      <w:r>
        <w:rPr>
          <w:spacing w:val="-3"/>
        </w:rPr>
        <w:t xml:space="preserve"> </w:t>
      </w:r>
      <w:r>
        <w:t>grant and</w:t>
      </w:r>
      <w:r>
        <w:rPr>
          <w:spacing w:val="-3"/>
        </w:rPr>
        <w:t xml:space="preserve"> </w:t>
      </w:r>
      <w:r>
        <w:t>contract</w:t>
      </w:r>
      <w:r>
        <w:rPr>
          <w:spacing w:val="-5"/>
        </w:rPr>
        <w:t xml:space="preserve"> </w:t>
      </w:r>
      <w:r>
        <w:t>funds</w:t>
      </w:r>
      <w:r>
        <w:rPr>
          <w:spacing w:val="-1"/>
        </w:rPr>
        <w:t xml:space="preserve"> </w:t>
      </w:r>
      <w:r>
        <w:t>are</w:t>
      </w:r>
      <w:r>
        <w:rPr>
          <w:spacing w:val="-3"/>
        </w:rPr>
        <w:t xml:space="preserve"> </w:t>
      </w:r>
      <w:r>
        <w:t>not</w:t>
      </w:r>
      <w:r>
        <w:rPr>
          <w:spacing w:val="-9"/>
        </w:rPr>
        <w:t xml:space="preserve"> </w:t>
      </w:r>
      <w:r>
        <w:t>expended</w:t>
      </w:r>
      <w:r>
        <w:rPr>
          <w:spacing w:val="-3"/>
        </w:rPr>
        <w:t xml:space="preserve"> </w:t>
      </w:r>
      <w:r>
        <w:t>for</w:t>
      </w:r>
      <w:r>
        <w:rPr>
          <w:spacing w:val="-1"/>
        </w:rPr>
        <w:t xml:space="preserve"> </w:t>
      </w:r>
      <w:r>
        <w:t>human</w:t>
      </w:r>
      <w:r>
        <w:rPr>
          <w:spacing w:val="-3"/>
        </w:rPr>
        <w:t xml:space="preserve"> </w:t>
      </w:r>
      <w:r>
        <w:t>subjects’</w:t>
      </w:r>
      <w:r>
        <w:rPr>
          <w:spacing w:val="-3"/>
        </w:rPr>
        <w:t xml:space="preserve"> </w:t>
      </w:r>
      <w:r>
        <w:t>research which has not been approved by an IRB of record in accordance with its policies and practices.</w:t>
      </w:r>
    </w:p>
    <w:p w:rsidR="00F056F8" w:rsidP="00F056F8" w14:paraId="474DF163" w14:textId="77777777">
      <w:pPr>
        <w:rPr>
          <w:rStyle w:val="Strong"/>
          <w:rFonts w:cs="Arial"/>
        </w:rPr>
      </w:pPr>
      <w:r>
        <w:rPr>
          <w:rStyle w:val="Strong"/>
          <w:rFonts w:cs="Arial"/>
        </w:rPr>
        <w:t>Departmental Business Office</w:t>
      </w:r>
    </w:p>
    <w:p w:rsidR="008D3DFF" w:rsidRPr="008D3DFF" w:rsidP="008D3DFF" w14:paraId="14323BE8" w14:textId="77777777">
      <w:pPr>
        <w:pStyle w:val="BodyText"/>
      </w:pPr>
      <w:r>
        <w:t xml:space="preserve">For those departments/centers using YCCI services for budgeting services, YCCI is responsible for the tasks listed in this section. </w:t>
      </w:r>
    </w:p>
    <w:p w:rsidR="00F056F8" w:rsidP="00F056F8" w14:paraId="6630FE0F" w14:textId="77777777">
      <w:pPr>
        <w:pStyle w:val="ListParagraph"/>
        <w:widowControl w:val="0"/>
        <w:numPr>
          <w:ilvl w:val="0"/>
          <w:numId w:val="14"/>
        </w:numPr>
        <w:tabs>
          <w:tab w:val="left" w:pos="860"/>
        </w:tabs>
        <w:autoSpaceDE w:val="0"/>
        <w:autoSpaceDN w:val="0"/>
        <w:spacing w:before="11" w:after="0"/>
        <w:ind w:right="605"/>
        <w:contextualSpacing w:val="0"/>
      </w:pPr>
      <w:r>
        <w:t>Prior to full execution of the contract by the Office of Sponsored Projects, departments/centers developing their own budgets are responsible for verifying the following as part of the final consistency review within five (5) business days of receiving the final contract and budget from OSP:</w:t>
      </w:r>
    </w:p>
    <w:p w:rsidR="00F056F8" w:rsidP="00F056F8" w14:paraId="008F69EF" w14:textId="77777777">
      <w:pPr>
        <w:pStyle w:val="ListParagraph"/>
        <w:widowControl w:val="0"/>
        <w:numPr>
          <w:ilvl w:val="0"/>
          <w:numId w:val="14"/>
        </w:numPr>
        <w:tabs>
          <w:tab w:val="left" w:pos="860"/>
        </w:tabs>
        <w:autoSpaceDE w:val="0"/>
        <w:autoSpaceDN w:val="0"/>
        <w:spacing w:before="11" w:after="0"/>
        <w:ind w:right="605"/>
        <w:contextualSpacing w:val="0"/>
      </w:pPr>
      <w:r>
        <w:t xml:space="preserve">Consistency of the </w:t>
      </w:r>
      <w:r w:rsidR="00443389">
        <w:t xml:space="preserve">designations in the </w:t>
      </w:r>
      <w:r>
        <w:t>Coverage Analysis, Calendar, contract and Budget.</w:t>
      </w:r>
    </w:p>
    <w:p w:rsidR="00F056F8" w:rsidP="00F056F8" w14:paraId="18DF9931" w14:textId="77777777">
      <w:pPr>
        <w:pStyle w:val="ListParagraph"/>
        <w:widowControl w:val="0"/>
        <w:numPr>
          <w:ilvl w:val="0"/>
          <w:numId w:val="14"/>
        </w:numPr>
        <w:tabs>
          <w:tab w:val="left" w:pos="860"/>
        </w:tabs>
        <w:autoSpaceDE w:val="0"/>
        <w:autoSpaceDN w:val="0"/>
        <w:spacing w:before="11" w:after="0"/>
        <w:ind w:right="605"/>
        <w:contextualSpacing w:val="0"/>
      </w:pPr>
      <w:r>
        <w:t>Consistency of payments/economic considerations language in the informed consent form, contract and the budget, including any payments, stipends, parking/travel reimbursement, or other supplies being provided to the participant. If third party vendors are engaged, confirm consistency of language in informed consent and contract.</w:t>
      </w:r>
    </w:p>
    <w:p w:rsidR="00F056F8" w:rsidP="00F056F8" w14:paraId="5504BC73" w14:textId="77777777">
      <w:pPr>
        <w:pStyle w:val="ListParagraph"/>
        <w:widowControl w:val="0"/>
        <w:numPr>
          <w:ilvl w:val="0"/>
          <w:numId w:val="14"/>
        </w:numPr>
        <w:tabs>
          <w:tab w:val="left" w:pos="860"/>
        </w:tabs>
        <w:autoSpaceDE w:val="0"/>
        <w:autoSpaceDN w:val="0"/>
        <w:spacing w:before="11" w:after="0"/>
        <w:ind w:right="605"/>
        <w:contextualSpacing w:val="0"/>
      </w:pPr>
      <w:r>
        <w:t>Verifies the accuracy of the billing grid and that services provided are documented and billed appropriately</w:t>
      </w:r>
    </w:p>
    <w:p w:rsidR="00F056F8" w:rsidP="00F056F8" w14:paraId="31BE7057" w14:textId="77777777">
      <w:pPr>
        <w:pStyle w:val="ListParagraph"/>
        <w:widowControl w:val="0"/>
        <w:numPr>
          <w:ilvl w:val="0"/>
          <w:numId w:val="14"/>
        </w:numPr>
        <w:tabs>
          <w:tab w:val="left" w:pos="860"/>
        </w:tabs>
        <w:autoSpaceDE w:val="0"/>
        <w:autoSpaceDN w:val="0"/>
        <w:spacing w:before="11" w:after="0"/>
        <w:ind w:right="605"/>
        <w:contextualSpacing w:val="0"/>
      </w:pPr>
      <w:r>
        <w:t>Tracks and reconciles revenue from sponsor with the services provided and budget agreement.</w:t>
      </w:r>
    </w:p>
    <w:p w:rsidR="00F056F8" w:rsidRPr="000E350A" w:rsidP="00F056F8" w14:paraId="71E8929E" w14:textId="77777777">
      <w:r>
        <w:rPr>
          <w:rStyle w:val="Strong"/>
          <w:rFonts w:cs="Arial"/>
        </w:rPr>
        <w:t>Principal Investigator</w:t>
      </w:r>
    </w:p>
    <w:p w:rsidR="00F056F8" w:rsidP="00F056F8" w14:paraId="024DAF83" w14:textId="77777777">
      <w:pPr>
        <w:tabs>
          <w:tab w:val="left" w:pos="860"/>
        </w:tabs>
        <w:spacing w:before="11"/>
        <w:ind w:right="362"/>
        <w:contextualSpacing w:val="0"/>
      </w:pPr>
      <w:r>
        <w:t>While investigators may delegate appropriate tasks to research support staff, they remain responsible and accountable for all work performed by delegates.</w:t>
      </w:r>
    </w:p>
    <w:p w:rsidR="00F056F8" w:rsidRPr="00D37068" w:rsidP="00F056F8" w14:paraId="7952EEA8" w14:textId="77777777">
      <w:pPr>
        <w:pStyle w:val="ListParagraph"/>
        <w:widowControl w:val="0"/>
        <w:numPr>
          <w:ilvl w:val="0"/>
          <w:numId w:val="14"/>
        </w:numPr>
        <w:tabs>
          <w:tab w:val="left" w:pos="860"/>
        </w:tabs>
        <w:autoSpaceDE w:val="0"/>
        <w:autoSpaceDN w:val="0"/>
        <w:spacing w:before="0" w:after="0"/>
        <w:ind w:right="371"/>
        <w:contextualSpacing w:val="0"/>
      </w:pPr>
      <w:r w:rsidRPr="00D37068">
        <w:t>Ensures the research study is conducted according to the IRB approved protocol and in accordance</w:t>
      </w:r>
      <w:r w:rsidRPr="002E0B5B">
        <w:t xml:space="preserve"> </w:t>
      </w:r>
      <w:r w:rsidRPr="00D37068">
        <w:t>with</w:t>
      </w:r>
      <w:r w:rsidRPr="002E0B5B">
        <w:t xml:space="preserve"> </w:t>
      </w:r>
      <w:r w:rsidRPr="00D37068">
        <w:t>University</w:t>
      </w:r>
      <w:r w:rsidRPr="002E0B5B">
        <w:t xml:space="preserve"> </w:t>
      </w:r>
      <w:r w:rsidRPr="00D37068">
        <w:t>policies,</w:t>
      </w:r>
      <w:r w:rsidRPr="002E0B5B">
        <w:t xml:space="preserve"> </w:t>
      </w:r>
      <w:r w:rsidRPr="00D37068">
        <w:t>federal,</w:t>
      </w:r>
      <w:r w:rsidRPr="002E0B5B">
        <w:t xml:space="preserve"> </w:t>
      </w:r>
      <w:r w:rsidRPr="00D37068">
        <w:t>state</w:t>
      </w:r>
      <w:r w:rsidRPr="002E0B5B">
        <w:t xml:space="preserve"> </w:t>
      </w:r>
      <w:r w:rsidRPr="00D37068">
        <w:t>and</w:t>
      </w:r>
      <w:r w:rsidRPr="002E0B5B">
        <w:t xml:space="preserve"> </w:t>
      </w:r>
      <w:r w:rsidRPr="00D37068">
        <w:t>local</w:t>
      </w:r>
      <w:r w:rsidRPr="002E0B5B">
        <w:t xml:space="preserve"> </w:t>
      </w:r>
      <w:r w:rsidRPr="00D37068">
        <w:t>regulations,</w:t>
      </w:r>
      <w:r w:rsidRPr="002E0B5B">
        <w:t xml:space="preserve"> </w:t>
      </w:r>
      <w:r w:rsidRPr="00D37068">
        <w:t>terms</w:t>
      </w:r>
      <w:r w:rsidRPr="002E0B5B">
        <w:t xml:space="preserve"> </w:t>
      </w:r>
      <w:r w:rsidRPr="00D37068">
        <w:t>of</w:t>
      </w:r>
      <w:r w:rsidRPr="002E0B5B">
        <w:t xml:space="preserve"> </w:t>
      </w:r>
      <w:r w:rsidRPr="00D37068">
        <w:t>the</w:t>
      </w:r>
      <w:r w:rsidRPr="002E0B5B">
        <w:t xml:space="preserve"> </w:t>
      </w:r>
      <w:r w:rsidRPr="00D37068">
        <w:t>sponsored award/investigator statement and other applicable regulations.</w:t>
      </w:r>
    </w:p>
    <w:p w:rsidR="00F056F8" w:rsidP="00F056F8" w14:paraId="7D9A9A77" w14:textId="77777777">
      <w:pPr>
        <w:pStyle w:val="ListParagraph"/>
        <w:widowControl w:val="0"/>
        <w:numPr>
          <w:ilvl w:val="0"/>
          <w:numId w:val="14"/>
        </w:numPr>
        <w:tabs>
          <w:tab w:val="left" w:pos="860"/>
        </w:tabs>
        <w:autoSpaceDE w:val="0"/>
        <w:autoSpaceDN w:val="0"/>
        <w:spacing w:before="0" w:after="0"/>
        <w:ind w:right="371"/>
        <w:contextualSpacing w:val="0"/>
      </w:pPr>
      <w:r>
        <w:t>If a patient or insurer is inappropriately billed for costs of study-related tests, treatment, procedures</w:t>
      </w:r>
      <w:r w:rsidRPr="002E0B5B">
        <w:t xml:space="preserve"> </w:t>
      </w:r>
      <w:r>
        <w:t>and/or</w:t>
      </w:r>
      <w:r w:rsidRPr="002E0B5B">
        <w:t xml:space="preserve"> </w:t>
      </w:r>
      <w:r>
        <w:t>services,</w:t>
      </w:r>
      <w:r w:rsidRPr="002E0B5B">
        <w:t xml:space="preserve"> </w:t>
      </w:r>
      <w:r>
        <w:t>the</w:t>
      </w:r>
      <w:r w:rsidRPr="002E0B5B">
        <w:t xml:space="preserve"> </w:t>
      </w:r>
      <w:r>
        <w:t xml:space="preserve">PI (or designee from the study team) </w:t>
      </w:r>
      <w:r w:rsidRPr="002E0B5B">
        <w:t xml:space="preserve">must </w:t>
      </w:r>
      <w:r>
        <w:t>ensure</w:t>
      </w:r>
      <w:r w:rsidRPr="002E0B5B">
        <w:t xml:space="preserve"> </w:t>
      </w:r>
      <w:r>
        <w:t>those</w:t>
      </w:r>
      <w:r w:rsidRPr="002E0B5B">
        <w:t xml:space="preserve"> </w:t>
      </w:r>
      <w:r>
        <w:t>payments</w:t>
      </w:r>
      <w:r w:rsidRPr="002E0B5B">
        <w:t xml:space="preserve"> </w:t>
      </w:r>
      <w:r>
        <w:t>are</w:t>
      </w:r>
      <w:r w:rsidRPr="002E0B5B">
        <w:t xml:space="preserve"> </w:t>
      </w:r>
      <w:r>
        <w:t>refunded</w:t>
      </w:r>
      <w:r w:rsidRPr="002E0B5B">
        <w:t xml:space="preserve">, </w:t>
      </w:r>
      <w:r>
        <w:t>billed</w:t>
      </w:r>
      <w:r w:rsidRPr="002E0B5B">
        <w:t xml:space="preserve"> </w:t>
      </w:r>
      <w:r>
        <w:t>to</w:t>
      </w:r>
      <w:r w:rsidRPr="002E0B5B">
        <w:t xml:space="preserve"> </w:t>
      </w:r>
      <w:r>
        <w:t>the appropriate entity, and provide confirmation of the correction to the YCCI Clinical Research Billing Quality Assurance team.</w:t>
      </w:r>
    </w:p>
    <w:p w:rsidR="00F056F8" w:rsidP="00F056F8" w14:paraId="2F24CCAE" w14:textId="77777777">
      <w:pPr>
        <w:pStyle w:val="ListParagraph"/>
        <w:widowControl w:val="0"/>
        <w:numPr>
          <w:ilvl w:val="0"/>
          <w:numId w:val="14"/>
        </w:numPr>
        <w:tabs>
          <w:tab w:val="left" w:pos="859"/>
        </w:tabs>
        <w:autoSpaceDE w:val="0"/>
        <w:autoSpaceDN w:val="0"/>
        <w:spacing w:before="0" w:after="0"/>
        <w:ind w:right="371"/>
        <w:contextualSpacing w:val="0"/>
      </w:pPr>
      <w:r>
        <w:t>Works</w:t>
      </w:r>
      <w:r w:rsidRPr="002E0B5B">
        <w:t xml:space="preserve"> </w:t>
      </w:r>
      <w:r>
        <w:t>with</w:t>
      </w:r>
      <w:r w:rsidRPr="002E0B5B">
        <w:t xml:space="preserve"> </w:t>
      </w:r>
      <w:r>
        <w:t>the</w:t>
      </w:r>
      <w:r w:rsidRPr="002E0B5B">
        <w:t xml:space="preserve"> </w:t>
      </w:r>
      <w:r>
        <w:t>Clinical</w:t>
      </w:r>
      <w:r w:rsidRPr="002E0B5B">
        <w:t xml:space="preserve"> </w:t>
      </w:r>
      <w:r>
        <w:t>Research</w:t>
      </w:r>
      <w:r w:rsidRPr="002E0B5B">
        <w:t xml:space="preserve"> </w:t>
      </w:r>
      <w:r>
        <w:t>Billing</w:t>
      </w:r>
      <w:r w:rsidRPr="002E0B5B">
        <w:t xml:space="preserve"> </w:t>
      </w:r>
      <w:r>
        <w:t>Quality</w:t>
      </w:r>
      <w:r w:rsidRPr="002E0B5B">
        <w:t xml:space="preserve"> </w:t>
      </w:r>
      <w:r>
        <w:t>Assurance</w:t>
      </w:r>
      <w:r w:rsidRPr="002E0B5B">
        <w:t xml:space="preserve"> </w:t>
      </w:r>
      <w:r>
        <w:t>group</w:t>
      </w:r>
      <w:r w:rsidRPr="002E0B5B">
        <w:t xml:space="preserve"> </w:t>
      </w:r>
      <w:r>
        <w:t>to</w:t>
      </w:r>
      <w:r w:rsidRPr="002E0B5B">
        <w:t xml:space="preserve"> </w:t>
      </w:r>
      <w:r>
        <w:t>resolve</w:t>
      </w:r>
      <w:r w:rsidRPr="002E0B5B">
        <w:t xml:space="preserve"> </w:t>
      </w:r>
      <w:r>
        <w:t>any</w:t>
      </w:r>
      <w:r w:rsidRPr="002E0B5B">
        <w:t xml:space="preserve"> </w:t>
      </w:r>
      <w:r>
        <w:t>billing</w:t>
      </w:r>
      <w:r w:rsidRPr="002E0B5B">
        <w:t xml:space="preserve"> issues.</w:t>
      </w:r>
    </w:p>
    <w:p w:rsidR="00F056F8" w:rsidP="00F056F8" w14:paraId="31CCF605" w14:textId="77777777">
      <w:pPr>
        <w:pStyle w:val="ListParagraph"/>
        <w:widowControl w:val="0"/>
        <w:numPr>
          <w:ilvl w:val="0"/>
          <w:numId w:val="14"/>
        </w:numPr>
        <w:tabs>
          <w:tab w:val="left" w:pos="859"/>
        </w:tabs>
        <w:autoSpaceDE w:val="0"/>
        <w:autoSpaceDN w:val="0"/>
        <w:spacing w:before="0" w:after="0"/>
        <w:ind w:right="371"/>
        <w:contextualSpacing w:val="0"/>
      </w:pPr>
      <w:r>
        <w:t>Ensures</w:t>
      </w:r>
      <w:r w:rsidRPr="002E0B5B">
        <w:t xml:space="preserve"> </w:t>
      </w:r>
      <w:r>
        <w:t>study</w:t>
      </w:r>
      <w:r w:rsidRPr="002E0B5B">
        <w:t xml:space="preserve"> </w:t>
      </w:r>
      <w:r>
        <w:t>participants</w:t>
      </w:r>
      <w:r w:rsidRPr="002E0B5B">
        <w:t xml:space="preserve"> </w:t>
      </w:r>
      <w:r>
        <w:t>are</w:t>
      </w:r>
      <w:r w:rsidRPr="002E0B5B">
        <w:t xml:space="preserve"> </w:t>
      </w:r>
      <w:r>
        <w:t>adequately</w:t>
      </w:r>
      <w:r w:rsidRPr="002E0B5B">
        <w:t xml:space="preserve"> </w:t>
      </w:r>
      <w:r>
        <w:t>informed</w:t>
      </w:r>
      <w:r w:rsidRPr="002E0B5B">
        <w:t xml:space="preserve"> </w:t>
      </w:r>
      <w:r>
        <w:t>of</w:t>
      </w:r>
      <w:r w:rsidRPr="002E0B5B">
        <w:t xml:space="preserve"> </w:t>
      </w:r>
      <w:r>
        <w:t>their</w:t>
      </w:r>
      <w:r w:rsidRPr="002E0B5B">
        <w:t xml:space="preserve"> </w:t>
      </w:r>
      <w:r>
        <w:t>financial</w:t>
      </w:r>
      <w:r w:rsidRPr="002E0B5B">
        <w:t xml:space="preserve"> obligations.</w:t>
      </w:r>
    </w:p>
    <w:p w:rsidR="00F056F8" w:rsidP="00F056F8" w14:paraId="1F06EA3F" w14:textId="77777777">
      <w:pPr>
        <w:pStyle w:val="ListParagraph"/>
        <w:widowControl w:val="0"/>
        <w:numPr>
          <w:ilvl w:val="0"/>
          <w:numId w:val="14"/>
        </w:numPr>
        <w:tabs>
          <w:tab w:val="left" w:pos="859"/>
        </w:tabs>
        <w:autoSpaceDE w:val="0"/>
        <w:autoSpaceDN w:val="0"/>
        <w:spacing w:before="0" w:after="0"/>
        <w:ind w:right="371"/>
        <w:contextualSpacing w:val="0"/>
      </w:pPr>
      <w:r>
        <w:t>Ensures</w:t>
      </w:r>
      <w:r w:rsidRPr="002E0B5B">
        <w:t xml:space="preserve"> </w:t>
      </w:r>
      <w:r>
        <w:t>the</w:t>
      </w:r>
      <w:r w:rsidRPr="002E0B5B">
        <w:t xml:space="preserve"> </w:t>
      </w:r>
      <w:r>
        <w:t>study</w:t>
      </w:r>
      <w:r w:rsidRPr="002E0B5B">
        <w:t xml:space="preserve"> </w:t>
      </w:r>
      <w:r>
        <w:t>framework</w:t>
      </w:r>
      <w:r w:rsidRPr="002E0B5B">
        <w:t xml:space="preserve"> </w:t>
      </w:r>
      <w:r>
        <w:t>is</w:t>
      </w:r>
      <w:r w:rsidRPr="002E0B5B">
        <w:t xml:space="preserve"> </w:t>
      </w:r>
      <w:r>
        <w:t>created</w:t>
      </w:r>
      <w:r w:rsidRPr="002E0B5B">
        <w:t xml:space="preserve"> </w:t>
      </w:r>
      <w:r>
        <w:t>in</w:t>
      </w:r>
      <w:r w:rsidRPr="002E0B5B">
        <w:t xml:space="preserve"> OnCore</w:t>
      </w:r>
    </w:p>
    <w:p w:rsidR="00F056F8" w:rsidP="00F056F8" w14:paraId="675530DA" w14:textId="77777777">
      <w:pPr>
        <w:pStyle w:val="ListParagraph"/>
        <w:widowControl w:val="0"/>
        <w:numPr>
          <w:ilvl w:val="0"/>
          <w:numId w:val="14"/>
        </w:numPr>
        <w:tabs>
          <w:tab w:val="left" w:pos="860"/>
        </w:tabs>
        <w:autoSpaceDE w:val="0"/>
        <w:autoSpaceDN w:val="0"/>
        <w:spacing w:before="0" w:after="0"/>
        <w:ind w:right="371"/>
        <w:contextualSpacing w:val="0"/>
      </w:pPr>
      <w:r>
        <w:t>Works</w:t>
      </w:r>
      <w:r w:rsidRPr="002E0B5B">
        <w:t xml:space="preserve"> </w:t>
      </w:r>
      <w:r>
        <w:t>hand-in-hand</w:t>
      </w:r>
      <w:r w:rsidRPr="002E0B5B">
        <w:t xml:space="preserve"> </w:t>
      </w:r>
      <w:r>
        <w:t>with</w:t>
      </w:r>
      <w:r w:rsidRPr="002E0B5B">
        <w:t xml:space="preserve"> </w:t>
      </w:r>
      <w:r>
        <w:t>YCCI</w:t>
      </w:r>
      <w:r w:rsidRPr="002E0B5B">
        <w:t xml:space="preserve"> </w:t>
      </w:r>
      <w:r>
        <w:t>and</w:t>
      </w:r>
      <w:r w:rsidRPr="002E0B5B">
        <w:t xml:space="preserve"> </w:t>
      </w:r>
      <w:r>
        <w:t>the</w:t>
      </w:r>
      <w:r w:rsidRPr="002E0B5B">
        <w:t xml:space="preserve"> </w:t>
      </w:r>
      <w:r>
        <w:t>study</w:t>
      </w:r>
      <w:r w:rsidRPr="002E0B5B">
        <w:t xml:space="preserve"> </w:t>
      </w:r>
      <w:r>
        <w:t>team</w:t>
      </w:r>
      <w:r w:rsidRPr="002E0B5B">
        <w:t xml:space="preserve"> </w:t>
      </w:r>
      <w:r>
        <w:t>to</w:t>
      </w:r>
      <w:r w:rsidRPr="002E0B5B">
        <w:t xml:space="preserve"> </w:t>
      </w:r>
      <w:r>
        <w:t>develop</w:t>
      </w:r>
      <w:r w:rsidRPr="002E0B5B">
        <w:t xml:space="preserve"> </w:t>
      </w:r>
      <w:r>
        <w:t>a</w:t>
      </w:r>
      <w:r w:rsidRPr="002E0B5B">
        <w:t xml:space="preserve"> </w:t>
      </w:r>
      <w:r>
        <w:t>detailed</w:t>
      </w:r>
      <w:r w:rsidRPr="002E0B5B">
        <w:t xml:space="preserve"> </w:t>
      </w:r>
      <w:r>
        <w:t>schedule</w:t>
      </w:r>
      <w:r w:rsidRPr="002E0B5B">
        <w:t xml:space="preserve"> </w:t>
      </w:r>
      <w:r>
        <w:t>of events</w:t>
      </w:r>
      <w:r w:rsidRPr="002E0B5B">
        <w:t xml:space="preserve"> </w:t>
      </w:r>
      <w:r>
        <w:t>and procedures, equipment, items, services, and human participant visits required to carry out the schedule of events.</w:t>
      </w:r>
    </w:p>
    <w:p w:rsidR="00F056F8" w:rsidP="00F056F8" w14:paraId="4A3FFD5A" w14:textId="77777777">
      <w:pPr>
        <w:pStyle w:val="ListParagraph"/>
        <w:widowControl w:val="0"/>
        <w:numPr>
          <w:ilvl w:val="0"/>
          <w:numId w:val="14"/>
        </w:numPr>
        <w:tabs>
          <w:tab w:val="left" w:pos="859"/>
        </w:tabs>
        <w:autoSpaceDE w:val="0"/>
        <w:autoSpaceDN w:val="0"/>
        <w:spacing w:before="0" w:after="0"/>
        <w:ind w:right="371"/>
        <w:contextualSpacing w:val="0"/>
      </w:pPr>
      <w:r>
        <w:t>Ensures</w:t>
      </w:r>
      <w:r w:rsidRPr="002E0B5B">
        <w:t xml:space="preserve"> </w:t>
      </w:r>
      <w:r>
        <w:t>the</w:t>
      </w:r>
      <w:r w:rsidRPr="002E0B5B">
        <w:t xml:space="preserve"> </w:t>
      </w:r>
      <w:r>
        <w:t>accuracy</w:t>
      </w:r>
      <w:r w:rsidRPr="002E0B5B">
        <w:t xml:space="preserve"> </w:t>
      </w:r>
      <w:r>
        <w:t>of</w:t>
      </w:r>
      <w:r w:rsidRPr="002E0B5B">
        <w:t xml:space="preserve"> </w:t>
      </w:r>
      <w:r>
        <w:t>the</w:t>
      </w:r>
      <w:r w:rsidRPr="002E0B5B">
        <w:t xml:space="preserve"> </w:t>
      </w:r>
      <w:r>
        <w:t>billing</w:t>
      </w:r>
      <w:r w:rsidRPr="002E0B5B">
        <w:t xml:space="preserve"> grid.</w:t>
      </w:r>
    </w:p>
    <w:p w:rsidR="005F63D5" w:rsidP="005F63D5" w14:paraId="13E73D97" w14:textId="77777777">
      <w:pPr>
        <w:pStyle w:val="ListParagraph"/>
        <w:widowControl w:val="0"/>
        <w:numPr>
          <w:ilvl w:val="0"/>
          <w:numId w:val="14"/>
        </w:numPr>
        <w:tabs>
          <w:tab w:val="left" w:pos="860"/>
        </w:tabs>
        <w:autoSpaceDE w:val="0"/>
        <w:autoSpaceDN w:val="0"/>
        <w:spacing w:before="11" w:after="0"/>
        <w:ind w:right="605"/>
        <w:contextualSpacing w:val="0"/>
      </w:pPr>
      <w:r w:rsidRPr="002E0B5B">
        <w:t>Ensures that the services provided are documented and billed appropriately</w:t>
      </w:r>
      <w:r>
        <w:t xml:space="preserve">. </w:t>
      </w:r>
    </w:p>
    <w:p w:rsidR="005F63D5" w:rsidP="005F63D5" w14:paraId="29327FCE" w14:textId="77777777">
      <w:pPr>
        <w:pStyle w:val="ListParagraph"/>
        <w:widowControl w:val="0"/>
        <w:numPr>
          <w:ilvl w:val="0"/>
          <w:numId w:val="14"/>
        </w:numPr>
        <w:tabs>
          <w:tab w:val="left" w:pos="860"/>
        </w:tabs>
        <w:autoSpaceDE w:val="0"/>
        <w:autoSpaceDN w:val="0"/>
        <w:spacing w:before="11" w:after="0"/>
        <w:ind w:right="605"/>
        <w:contextualSpacing w:val="0"/>
      </w:pPr>
      <w:r>
        <w:t>Ensures that the study team enters into OnCore all newly consented research participants on the day they are consented. Also ensures that subsequent visits shall be recorded within 48 hours of the visit to promote effective and efficient billing compliance.</w:t>
      </w:r>
    </w:p>
    <w:p w:rsidR="00F056F8" w:rsidP="005F63D5" w14:paraId="115DD349" w14:textId="77777777">
      <w:pPr>
        <w:pStyle w:val="ListParagraph"/>
        <w:widowControl w:val="0"/>
        <w:tabs>
          <w:tab w:val="left" w:pos="860"/>
        </w:tabs>
        <w:autoSpaceDE w:val="0"/>
        <w:autoSpaceDN w:val="0"/>
        <w:spacing w:before="0" w:after="0"/>
        <w:ind w:right="371"/>
        <w:contextualSpacing w:val="0"/>
      </w:pPr>
    </w:p>
    <w:p w:rsidR="00F056F8" w:rsidRPr="000E350A" w:rsidP="00F056F8" w14:paraId="577F5C01" w14:textId="77777777">
      <w:r>
        <w:rPr>
          <w:rStyle w:val="Strong"/>
          <w:rFonts w:cs="Arial"/>
        </w:rPr>
        <w:t>Yale Center for Clinical Investigation</w:t>
      </w:r>
    </w:p>
    <w:p w:rsidR="00F056F8" w:rsidP="00F056F8" w14:paraId="4BF96CF4" w14:textId="77777777">
      <w:pPr>
        <w:pStyle w:val="ListParagraph"/>
        <w:widowControl w:val="0"/>
        <w:numPr>
          <w:ilvl w:val="0"/>
          <w:numId w:val="14"/>
        </w:numPr>
        <w:tabs>
          <w:tab w:val="left" w:pos="860"/>
        </w:tabs>
        <w:autoSpaceDE w:val="0"/>
        <w:autoSpaceDN w:val="0"/>
        <w:spacing w:before="11" w:after="0"/>
        <w:ind w:right="605"/>
        <w:contextualSpacing w:val="0"/>
      </w:pPr>
      <w:r>
        <w:t>Registers applicable clinical trials using the Protocol Registration System (ClinicalTrials.gov)</w:t>
      </w:r>
    </w:p>
    <w:p w:rsidR="00F056F8" w:rsidP="00F056F8" w14:paraId="3AD59745" w14:textId="77777777">
      <w:pPr>
        <w:pStyle w:val="ListParagraph"/>
        <w:widowControl w:val="0"/>
        <w:numPr>
          <w:ilvl w:val="0"/>
          <w:numId w:val="14"/>
        </w:numPr>
        <w:tabs>
          <w:tab w:val="left" w:pos="860"/>
        </w:tabs>
        <w:autoSpaceDE w:val="0"/>
        <w:autoSpaceDN w:val="0"/>
        <w:spacing w:before="11" w:after="0"/>
        <w:ind w:right="605"/>
        <w:contextualSpacing w:val="0"/>
      </w:pPr>
      <w:r>
        <w:t>Supports the reporting of results of applicable clinical trials using the Protocol Registration System (ClinicalTrials.gov)</w:t>
      </w:r>
    </w:p>
    <w:p w:rsidR="00F056F8" w:rsidP="00F056F8" w14:paraId="2F19089C" w14:textId="77777777">
      <w:pPr>
        <w:pStyle w:val="ListParagraph"/>
        <w:widowControl w:val="0"/>
        <w:numPr>
          <w:ilvl w:val="0"/>
          <w:numId w:val="14"/>
        </w:numPr>
        <w:tabs>
          <w:tab w:val="left" w:pos="860"/>
        </w:tabs>
        <w:autoSpaceDE w:val="0"/>
        <w:autoSpaceDN w:val="0"/>
        <w:spacing w:before="11" w:after="0"/>
        <w:ind w:right="605"/>
        <w:contextualSpacing w:val="0"/>
      </w:pPr>
      <w:r>
        <w:t>Conducts invoicing of sponsors for IRB activities</w:t>
      </w:r>
    </w:p>
    <w:p w:rsidR="00F056F8" w:rsidP="00F056F8" w14:paraId="6E6C1AA4" w14:textId="77777777">
      <w:pPr>
        <w:pStyle w:val="ListParagraph"/>
        <w:widowControl w:val="0"/>
        <w:numPr>
          <w:ilvl w:val="0"/>
          <w:numId w:val="14"/>
        </w:numPr>
        <w:tabs>
          <w:tab w:val="left" w:pos="860"/>
        </w:tabs>
        <w:autoSpaceDE w:val="0"/>
        <w:autoSpaceDN w:val="0"/>
        <w:spacing w:before="11" w:after="0"/>
        <w:ind w:right="605"/>
        <w:contextualSpacing w:val="0"/>
      </w:pPr>
      <w:r>
        <w:t>Works hand-in-hand with the PI and study team to develop a detailed schedule of events and procedures, equipment, items, services, and human participant visits required to carry out the schedule of events.</w:t>
      </w:r>
    </w:p>
    <w:p w:rsidR="00F056F8" w:rsidP="00F056F8" w14:paraId="4446FAD7" w14:textId="77777777">
      <w:pPr>
        <w:pStyle w:val="ListParagraph"/>
        <w:widowControl w:val="0"/>
        <w:numPr>
          <w:ilvl w:val="0"/>
          <w:numId w:val="14"/>
        </w:numPr>
        <w:tabs>
          <w:tab w:val="left" w:pos="860"/>
        </w:tabs>
        <w:autoSpaceDE w:val="0"/>
        <w:autoSpaceDN w:val="0"/>
        <w:spacing w:before="11" w:after="0"/>
        <w:ind w:right="605"/>
        <w:contextualSpacing w:val="0"/>
      </w:pPr>
      <w:r>
        <w:t>Ensures that a detailed MCA is completed for all research studies regardless of funding source, identifying items and services that can be billed to insurance versus items that cannot and communicates the results of the MCA to all responsible parties including Hospital and Physician Charge Reviewers, Auditors, Principal Investigators, and QA/QC team (In some cases, YCC may perform these functions for oncology studies).</w:t>
      </w:r>
    </w:p>
    <w:p w:rsidR="00F056F8" w:rsidP="00F056F8" w14:paraId="7211EE48" w14:textId="77777777">
      <w:pPr>
        <w:pStyle w:val="ListParagraph"/>
        <w:widowControl w:val="0"/>
        <w:numPr>
          <w:ilvl w:val="0"/>
          <w:numId w:val="14"/>
        </w:numPr>
        <w:tabs>
          <w:tab w:val="left" w:pos="860"/>
        </w:tabs>
        <w:autoSpaceDE w:val="0"/>
        <w:autoSpaceDN w:val="0"/>
        <w:spacing w:before="11" w:after="0"/>
        <w:ind w:right="605"/>
        <w:contextualSpacing w:val="0"/>
      </w:pPr>
      <w:r>
        <w:t>Ensures downstream implementation of the MCA and billing grid from pre-award and activation processes to post-award charge review and sponsor invoicing, and subsequent QA of clinical trial billing processes.</w:t>
      </w:r>
    </w:p>
    <w:p w:rsidR="00F056F8" w:rsidP="00F056F8" w14:paraId="34EF3ABD" w14:textId="77777777">
      <w:pPr>
        <w:pStyle w:val="ListParagraph"/>
        <w:widowControl w:val="0"/>
        <w:numPr>
          <w:ilvl w:val="0"/>
          <w:numId w:val="14"/>
        </w:numPr>
        <w:tabs>
          <w:tab w:val="left" w:pos="860"/>
        </w:tabs>
        <w:autoSpaceDE w:val="0"/>
        <w:autoSpaceDN w:val="0"/>
        <w:spacing w:before="11" w:after="0"/>
        <w:ind w:right="605"/>
        <w:contextualSpacing w:val="0"/>
      </w:pPr>
      <w:r>
        <w:t>Develops and negotiates final budget directly with sponsor and/or Clinical Research Organization (CRO) in coordination with the PI.</w:t>
      </w:r>
    </w:p>
    <w:p w:rsidR="00F056F8" w:rsidP="00F056F8" w14:paraId="58AD44CB" w14:textId="77777777">
      <w:pPr>
        <w:pStyle w:val="ListParagraph"/>
        <w:widowControl w:val="0"/>
        <w:numPr>
          <w:ilvl w:val="0"/>
          <w:numId w:val="14"/>
        </w:numPr>
        <w:tabs>
          <w:tab w:val="left" w:pos="860"/>
        </w:tabs>
        <w:autoSpaceDE w:val="0"/>
        <w:autoSpaceDN w:val="0"/>
        <w:spacing w:before="11" w:after="0"/>
        <w:ind w:right="605"/>
        <w:contextualSpacing w:val="0"/>
      </w:pPr>
      <w:r>
        <w:t>Coordinates MCA and budget negotiation with OSP.</w:t>
      </w:r>
    </w:p>
    <w:p w:rsidR="00F056F8" w:rsidP="00F056F8" w14:paraId="0A34FB50" w14:textId="77777777">
      <w:pPr>
        <w:pStyle w:val="ListParagraph"/>
        <w:widowControl w:val="0"/>
        <w:numPr>
          <w:ilvl w:val="0"/>
          <w:numId w:val="14"/>
        </w:numPr>
        <w:tabs>
          <w:tab w:val="left" w:pos="860"/>
        </w:tabs>
        <w:autoSpaceDE w:val="0"/>
        <w:autoSpaceDN w:val="0"/>
        <w:spacing w:before="11" w:after="0"/>
        <w:ind w:right="605"/>
        <w:contextualSpacing w:val="0"/>
      </w:pPr>
      <w:r>
        <w:t xml:space="preserve">For budgets developed, ensures harmonization of MCA, budget, OnCore calendar and ICF – as part of the Yale Consistency Review Procedure. </w:t>
      </w:r>
    </w:p>
    <w:p w:rsidR="00F056F8" w:rsidP="00F056F8" w14:paraId="2D99DE31" w14:textId="77777777">
      <w:pPr>
        <w:pStyle w:val="ListParagraph"/>
        <w:widowControl w:val="0"/>
        <w:numPr>
          <w:ilvl w:val="0"/>
          <w:numId w:val="14"/>
        </w:numPr>
        <w:tabs>
          <w:tab w:val="left" w:pos="860"/>
        </w:tabs>
        <w:autoSpaceDE w:val="0"/>
        <w:autoSpaceDN w:val="0"/>
        <w:spacing w:before="11" w:after="0"/>
        <w:ind w:right="605"/>
        <w:contextualSpacing w:val="0"/>
      </w:pPr>
      <w:r>
        <w:t>Conducts clinical research billing quality assurance activities.</w:t>
      </w:r>
    </w:p>
    <w:p w:rsidR="00254D6C" w:rsidRPr="00254D6C" w:rsidP="00254D6C" w14:paraId="02EDC523" w14:textId="77777777">
      <w:pPr>
        <w:rPr>
          <w:rFonts w:cs="Arial"/>
          <w:b/>
          <w:bCs/>
        </w:rPr>
      </w:pPr>
      <w:r>
        <w:rPr>
          <w:rStyle w:val="Strong"/>
          <w:rFonts w:cs="Arial"/>
        </w:rPr>
        <w:t>Departments and Yale Cancer Center</w:t>
      </w:r>
    </w:p>
    <w:p w:rsidR="00F056F8" w:rsidP="00F056F8" w14:paraId="76B08031" w14:textId="77777777">
      <w:pPr>
        <w:widowControl w:val="0"/>
        <w:tabs>
          <w:tab w:val="left" w:pos="860"/>
        </w:tabs>
        <w:autoSpaceDE w:val="0"/>
        <w:autoSpaceDN w:val="0"/>
        <w:spacing w:before="11" w:after="0"/>
        <w:ind w:right="605"/>
        <w:contextualSpacing w:val="0"/>
      </w:pPr>
      <w:r>
        <w:t>Departments and YCC may conduct aspects of protocol development independently from YCCI. Specifically, they can:</w:t>
      </w:r>
    </w:p>
    <w:p w:rsidR="00254D6C" w:rsidP="00254D6C" w14:paraId="6C32C5A5" w14:textId="77777777">
      <w:pPr>
        <w:pStyle w:val="ListParagraph"/>
        <w:widowControl w:val="0"/>
        <w:tabs>
          <w:tab w:val="left" w:pos="860"/>
        </w:tabs>
        <w:autoSpaceDE w:val="0"/>
        <w:autoSpaceDN w:val="0"/>
        <w:spacing w:before="11" w:after="0"/>
        <w:ind w:right="605"/>
        <w:contextualSpacing w:val="0"/>
      </w:pPr>
    </w:p>
    <w:p w:rsidR="00F056F8" w:rsidP="00F056F8" w14:paraId="72D546CC" w14:textId="77777777">
      <w:pPr>
        <w:pStyle w:val="ListParagraph"/>
        <w:widowControl w:val="0"/>
        <w:numPr>
          <w:ilvl w:val="0"/>
          <w:numId w:val="14"/>
        </w:numPr>
        <w:tabs>
          <w:tab w:val="left" w:pos="860"/>
        </w:tabs>
        <w:autoSpaceDE w:val="0"/>
        <w:autoSpaceDN w:val="0"/>
        <w:spacing w:before="11" w:after="0"/>
        <w:ind w:right="605"/>
        <w:contextualSpacing w:val="0"/>
      </w:pPr>
      <w:r>
        <w:t>Work with the PI and study team to develop a detailed schedule of events and procedures, equipment, items, services, and human participant visits required to carry out the schedule of events.</w:t>
      </w:r>
    </w:p>
    <w:p w:rsidR="00F056F8" w:rsidP="00F056F8" w14:paraId="7B09E3B0" w14:textId="77777777">
      <w:pPr>
        <w:pStyle w:val="ListParagraph"/>
        <w:widowControl w:val="0"/>
        <w:numPr>
          <w:ilvl w:val="0"/>
          <w:numId w:val="14"/>
        </w:numPr>
        <w:tabs>
          <w:tab w:val="left" w:pos="860"/>
        </w:tabs>
        <w:autoSpaceDE w:val="0"/>
        <w:autoSpaceDN w:val="0"/>
        <w:spacing w:before="11" w:after="0"/>
        <w:ind w:right="605"/>
        <w:contextualSpacing w:val="0"/>
      </w:pPr>
      <w:r>
        <w:t>Develops and negotiates final budget directly with sponsor and/or Clinical Research Organization (CRO) in coordination with the PI.</w:t>
      </w:r>
    </w:p>
    <w:p w:rsidR="00F056F8" w:rsidP="00F056F8" w14:paraId="4570C036" w14:textId="77777777">
      <w:pPr>
        <w:pStyle w:val="ListParagraph"/>
        <w:widowControl w:val="0"/>
        <w:numPr>
          <w:ilvl w:val="0"/>
          <w:numId w:val="14"/>
        </w:numPr>
        <w:tabs>
          <w:tab w:val="left" w:pos="860"/>
        </w:tabs>
        <w:autoSpaceDE w:val="0"/>
        <w:autoSpaceDN w:val="0"/>
        <w:spacing w:before="11" w:after="0"/>
        <w:ind w:right="605"/>
        <w:contextualSpacing w:val="0"/>
      </w:pPr>
      <w:r>
        <w:t>Coordinates MCA and budget negotiation with OSP.</w:t>
      </w:r>
    </w:p>
    <w:p w:rsidR="00F056F8" w:rsidRPr="00F056F8" w:rsidP="00F056F8" w14:paraId="118AB967" w14:textId="77777777">
      <w:pPr>
        <w:pStyle w:val="ListParagraph"/>
        <w:widowControl w:val="0"/>
        <w:numPr>
          <w:ilvl w:val="0"/>
          <w:numId w:val="14"/>
        </w:numPr>
        <w:tabs>
          <w:tab w:val="left" w:pos="860"/>
        </w:tabs>
        <w:autoSpaceDE w:val="0"/>
        <w:autoSpaceDN w:val="0"/>
        <w:spacing w:before="11" w:after="0"/>
        <w:ind w:right="605"/>
        <w:contextualSpacing w:val="0"/>
      </w:pPr>
      <w:r>
        <w:t xml:space="preserve">Ensures that the financial obligations described in the ICFs are consistent with the study budget. </w:t>
      </w:r>
    </w:p>
    <w:p w:rsidR="007D358A" w:rsidP="00003662" w14:paraId="11F75978" w14:textId="77777777">
      <w:pPr>
        <w:pStyle w:val="SectionHeading"/>
        <w:rPr>
          <w:color w:val="17365D" w:themeColor="text2" w:themeShade="BF"/>
        </w:rPr>
      </w:pPr>
    </w:p>
    <w:p w:rsidR="0007688E" w:rsidRPr="00EC53A3" w:rsidP="00003662" w14:paraId="59301B25" w14:textId="77777777">
      <w:pPr>
        <w:pStyle w:val="SectionHeading"/>
        <w:rPr>
          <w:color w:val="17365D" w:themeColor="text2" w:themeShade="BF"/>
          <w:sz w:val="20"/>
        </w:rPr>
      </w:pPr>
      <w:r w:rsidRPr="00EC53A3">
        <w:rPr>
          <w:color w:val="17365D" w:themeColor="text2" w:themeShade="BF"/>
        </w:rPr>
        <w:t xml:space="preserve">Contact Information </w:t>
      </w:r>
    </w:p>
    <w:p w:rsidR="00F056F8" w:rsidP="00F056F8" w14:paraId="258E5061" w14:textId="77777777">
      <w:pPr>
        <w:pStyle w:val="BodyText"/>
        <w:numPr>
          <w:ilvl w:val="0"/>
          <w:numId w:val="15"/>
        </w:numPr>
      </w:pPr>
      <w:bookmarkStart w:id="5" w:name="_Hlk497987165"/>
      <w:r w:rsidRPr="00254D6C">
        <w:rPr>
          <w:b/>
        </w:rPr>
        <w:t>Human Research Protection Program:</w:t>
      </w:r>
      <w:r w:rsidRPr="00254D6C">
        <w:t xml:space="preserve"> </w:t>
      </w:r>
      <w:hyperlink r:id="rId12" w:history="1">
        <w:r w:rsidRPr="0014354B">
          <w:rPr>
            <w:rStyle w:val="Hyperlink"/>
          </w:rPr>
          <w:t>HRPP@yale.edu</w:t>
        </w:r>
      </w:hyperlink>
    </w:p>
    <w:p w:rsidR="00F056F8" w:rsidP="00F056F8" w14:paraId="5FAE6F54" w14:textId="77777777">
      <w:pPr>
        <w:pStyle w:val="BodyText"/>
        <w:numPr>
          <w:ilvl w:val="0"/>
          <w:numId w:val="15"/>
        </w:numPr>
      </w:pPr>
      <w:r>
        <w:rPr>
          <w:b/>
        </w:rPr>
        <w:t>YCCI Request Portal</w:t>
      </w:r>
      <w:r>
        <w:t xml:space="preserve">: </w:t>
      </w:r>
      <w:hyperlink r:id="rId13" w:history="1">
        <w:r w:rsidRPr="0014354B">
          <w:rPr>
            <w:rStyle w:val="Hyperlink"/>
          </w:rPr>
          <w:t>https://m.yale.edu/ycci-requests</w:t>
        </w:r>
      </w:hyperlink>
    </w:p>
    <w:p w:rsidR="007D358A" w:rsidRPr="00F056F8" w:rsidP="00003662" w14:paraId="41F1DE67" w14:textId="77777777">
      <w:pPr>
        <w:pStyle w:val="BodyText"/>
        <w:numPr>
          <w:ilvl w:val="0"/>
          <w:numId w:val="15"/>
        </w:numPr>
        <w:rPr>
          <w:rStyle w:val="Hyperlink"/>
          <w:color w:val="auto"/>
          <w:u w:val="none"/>
        </w:rPr>
      </w:pPr>
      <w:r w:rsidRPr="00614E9E">
        <w:rPr>
          <w:b/>
          <w:bCs/>
        </w:rPr>
        <w:t>Yale Clinical Trials.gov Team:</w:t>
      </w:r>
      <w:r>
        <w:t xml:space="preserve"> </w:t>
      </w:r>
      <w:hyperlink r:id="rId14" w:history="1">
        <w:r w:rsidRPr="0014354B">
          <w:rPr>
            <w:rStyle w:val="Hyperlink"/>
          </w:rPr>
          <w:t>Yale.CTgov@yale.edu</w:t>
        </w:r>
      </w:hyperlink>
    </w:p>
    <w:p w:rsidR="00F056F8" w:rsidRPr="00F056F8" w:rsidP="00F056F8" w14:paraId="76EDFD0A" w14:textId="77777777">
      <w:pPr>
        <w:pStyle w:val="BodyText"/>
      </w:pPr>
    </w:p>
    <w:p w:rsidR="009315D0" w:rsidRPr="00EC53A3" w:rsidP="00003662" w14:paraId="231170DB" w14:textId="77777777">
      <w:pPr>
        <w:pStyle w:val="SectionHeading"/>
        <w:rPr>
          <w:color w:val="17365D" w:themeColor="text2" w:themeShade="BF"/>
        </w:rPr>
      </w:pPr>
      <w:r w:rsidRPr="00EC53A3">
        <w:rPr>
          <w:color w:val="17365D" w:themeColor="text2" w:themeShade="BF"/>
        </w:rPr>
        <w:t>Related Information</w:t>
      </w:r>
      <w:bookmarkEnd w:id="5"/>
    </w:p>
    <w:p w:rsidR="00F056F8" w:rsidRPr="00254D6C" w:rsidP="00F056F8" w14:paraId="6F233DB9" w14:textId="77777777">
      <w:pPr>
        <w:pStyle w:val="BodyText"/>
      </w:pPr>
      <w:hyperlink r:id="rId15" w:history="1">
        <w:r w:rsidRPr="00254D6C">
          <w:rPr>
            <w:rStyle w:val="Hyperlink"/>
          </w:rPr>
          <w:t>A to Z List of Research Support Services</w:t>
        </w:r>
      </w:hyperlink>
      <w:r w:rsidRPr="00254D6C" w:rsidR="00C41854">
        <w:t xml:space="preserve"> </w:t>
      </w:r>
    </w:p>
    <w:p w:rsidR="00F056F8" w:rsidP="00F056F8" w14:paraId="3603DCF1" w14:textId="77777777">
      <w:pPr>
        <w:pStyle w:val="BodyText"/>
        <w:rPr>
          <w:rFonts w:cs="Arial"/>
        </w:rPr>
      </w:pPr>
      <w:hyperlink r:id="rId16" w:history="1">
        <w:r w:rsidRPr="00254D6C">
          <w:rPr>
            <w:rStyle w:val="Hyperlink"/>
          </w:rPr>
          <w:t>YCCI Request Portal</w:t>
        </w:r>
      </w:hyperlink>
      <w:r w:rsidRPr="00254D6C" w:rsidR="00C41854">
        <w:rPr>
          <w:rFonts w:cs="Arial"/>
        </w:rPr>
        <w:t xml:space="preserve"> </w:t>
      </w:r>
    </w:p>
    <w:p w:rsidR="00D879B2" w:rsidP="00F056F8" w14:paraId="64481002" w14:textId="329AC1C7">
      <w:pPr>
        <w:pStyle w:val="BodyText"/>
        <w:rPr>
          <w:rFonts w:cs="Arial"/>
        </w:rPr>
      </w:pPr>
      <w:hyperlink r:id="rId17" w:history="1">
        <w:r>
          <w:rPr>
            <w:rStyle w:val="Hyperlink"/>
          </w:rPr>
          <w:t>FD29 Industry Sponsored Clinical Trials Responsibilities and Reporting - Reference</w:t>
        </w:r>
      </w:hyperlink>
      <w:r>
        <w:t xml:space="preserve"> </w:t>
      </w:r>
    </w:p>
    <w:p w:rsidR="00F104FD" w:rsidP="00F056F8" w14:paraId="4D3FD168" w14:textId="77777777">
      <w:pPr>
        <w:pStyle w:val="BodyText"/>
      </w:pPr>
    </w:p>
    <w:p w:rsidR="0006084D" w:rsidRPr="00EC53A3" w:rsidP="00F359A3" w14:paraId="2451640A" w14:textId="77777777">
      <w:pPr>
        <w:pStyle w:val="SectionHeading"/>
        <w:rPr>
          <w:color w:val="17365D" w:themeColor="text2" w:themeShade="BF"/>
        </w:rPr>
      </w:pPr>
      <w:r w:rsidRPr="00EC53A3">
        <w:rPr>
          <w:color w:val="17365D" w:themeColor="text2" w:themeShade="BF"/>
        </w:rPr>
        <w:t>References</w:t>
      </w:r>
    </w:p>
    <w:p w:rsidR="00781F1F" w:rsidP="00781F1F" w14:paraId="6177A4A1" w14:textId="77777777">
      <w:pPr>
        <w:pStyle w:val="BodyText"/>
      </w:pPr>
      <w:r>
        <w:t>N/A</w:t>
      </w:r>
    </w:p>
    <w:p w:rsidR="00841E1A" w:rsidP="00781F1F" w14:paraId="45F39BE4" w14:textId="77777777">
      <w:pPr>
        <w:pStyle w:val="BodyText"/>
      </w:pPr>
    </w:p>
    <w:p w:rsidR="00841E1A" w:rsidRPr="004070F1" w:rsidP="004070F1" w14:paraId="2DB046C8" w14:textId="77777777">
      <w:pPr>
        <w:pStyle w:val="SectionHeading"/>
        <w:rPr>
          <w:color w:val="17365D" w:themeColor="text2" w:themeShade="BF"/>
        </w:rPr>
      </w:pPr>
      <w:r w:rsidRPr="00EC53A3">
        <w:rPr>
          <w:color w:val="17365D" w:themeColor="text2" w:themeShade="BF"/>
        </w:rPr>
        <w:t>Version History</w:t>
      </w:r>
    </w:p>
    <w:p w:rsidR="000A0791" w:rsidRPr="000A0791" w:rsidP="00841E1A" w14:paraId="5E982F09" w14:textId="77777777">
      <w:pPr>
        <w:pStyle w:val="BodyText"/>
        <w:numPr>
          <w:ilvl w:val="0"/>
          <w:numId w:val="15"/>
        </w:numPr>
        <w:rPr>
          <w:bCs/>
        </w:rPr>
      </w:pPr>
      <w:r w:rsidRPr="000A0791">
        <w:rPr>
          <w:b/>
        </w:rPr>
        <w:t>4/25/2025</w:t>
      </w:r>
      <w:r>
        <w:rPr>
          <w:bCs/>
        </w:rPr>
        <w:t>: Significant updates made by YCCI and the Dean’s office</w:t>
      </w:r>
    </w:p>
    <w:p w:rsidR="00841E1A" w:rsidRPr="0050277A" w:rsidP="00841E1A" w14:paraId="0F5157F2" w14:textId="77777777">
      <w:pPr>
        <w:pStyle w:val="BodyText"/>
        <w:numPr>
          <w:ilvl w:val="0"/>
          <w:numId w:val="15"/>
        </w:numPr>
        <w:rPr>
          <w:bCs/>
        </w:rPr>
      </w:pPr>
      <w:r>
        <w:rPr>
          <w:b/>
        </w:rPr>
        <w:t>1/2</w:t>
      </w:r>
      <w:r w:rsidR="00020CF8">
        <w:rPr>
          <w:b/>
        </w:rPr>
        <w:t>7</w:t>
      </w:r>
      <w:r>
        <w:rPr>
          <w:b/>
        </w:rPr>
        <w:t>/2</w:t>
      </w:r>
      <w:r w:rsidR="004070F1">
        <w:rPr>
          <w:b/>
        </w:rPr>
        <w:t>02</w:t>
      </w:r>
      <w:r>
        <w:rPr>
          <w:b/>
        </w:rPr>
        <w:t>5:</w:t>
      </w:r>
      <w:r>
        <w:rPr>
          <w:bCs/>
        </w:rPr>
        <w:t xml:space="preserve"> Significant updates made to policy by YCCI, OSP, and HRPP</w:t>
      </w:r>
    </w:p>
    <w:p w:rsidR="007D358A" w:rsidP="00841E1A" w14:paraId="3EA79311" w14:textId="77777777">
      <w:pPr>
        <w:pStyle w:val="BodyText"/>
        <w:numPr>
          <w:ilvl w:val="0"/>
          <w:numId w:val="15"/>
        </w:numPr>
        <w:rPr>
          <w:bCs/>
        </w:rPr>
      </w:pPr>
      <w:r>
        <w:rPr>
          <w:b/>
        </w:rPr>
        <w:t>4/1/</w:t>
      </w:r>
      <w:r w:rsidR="004070F1">
        <w:rPr>
          <w:b/>
        </w:rPr>
        <w:t>20</w:t>
      </w:r>
      <w:r>
        <w:rPr>
          <w:b/>
        </w:rPr>
        <w:t xml:space="preserve">19: </w:t>
      </w:r>
      <w:r>
        <w:rPr>
          <w:bCs/>
        </w:rPr>
        <w:t>Original issued policy</w:t>
      </w:r>
    </w:p>
    <w:p w:rsidR="00375286" w:rsidRPr="00841E1A" w:rsidP="00375286" w14:paraId="3DC1B6D6" w14:textId="77777777">
      <w:pPr>
        <w:pStyle w:val="BodyText"/>
        <w:ind w:left="720"/>
        <w:rPr>
          <w:bCs/>
        </w:rPr>
      </w:pPr>
    </w:p>
    <w:p w:rsidR="0006084D" w:rsidP="0006084D" w14:paraId="4B900A68" w14:textId="77777777">
      <w:pPr>
        <w:pStyle w:val="SectionHeading"/>
        <w:rPr>
          <w:color w:val="17365D" w:themeColor="text2" w:themeShade="BF"/>
        </w:rPr>
      </w:pPr>
      <w:r w:rsidRPr="00EC53A3">
        <w:rPr>
          <w:color w:val="17365D" w:themeColor="text2" w:themeShade="BF"/>
        </w:rPr>
        <w:t xml:space="preserve">Keywords </w:t>
      </w:r>
    </w:p>
    <w:p w:rsidR="00EC53A3" w:rsidP="00DE15D9" w14:paraId="6FEC0960" w14:textId="77777777">
      <w:r>
        <w:t>Clinical Trial Billing, Billable Clinical Services, YCCI, Clinical Trials</w:t>
      </w:r>
    </w:p>
    <w:p w:rsidR="00964C57" w:rsidP="00B31E70" w14:paraId="4D30A0A9" w14:textId="77777777">
      <w:pPr>
        <w:spacing w:before="0"/>
        <w:rPr>
          <w:b/>
          <w:bCs/>
          <w:szCs w:val="24"/>
        </w:rPr>
      </w:pPr>
    </w:p>
    <w:p w:rsidR="007D358A" w:rsidP="00B31E70" w14:paraId="5D9045BD" w14:textId="77777777">
      <w:pPr>
        <w:spacing w:before="0"/>
        <w:rPr>
          <w:b/>
          <w:bCs/>
          <w:szCs w:val="24"/>
        </w:rPr>
      </w:pPr>
    </w:p>
    <w:p w:rsidR="00B31E70" w:rsidRPr="00527DB8" w:rsidP="00B31E70" w14:paraId="02D05568" w14:textId="77777777">
      <w:pPr>
        <w:spacing w:before="0"/>
        <w:rPr>
          <w:sz w:val="18"/>
          <w:szCs w:val="18"/>
        </w:rPr>
      </w:pPr>
      <w:r w:rsidRPr="00825DBD">
        <w:rPr>
          <w:b/>
          <w:bCs/>
          <w:szCs w:val="24"/>
        </w:rPr>
        <w:t xml:space="preserve">Responsible Official: </w:t>
      </w:r>
      <w:r w:rsidRPr="00825DBD">
        <w:rPr>
          <w:b/>
          <w:bCs/>
          <w:szCs w:val="24"/>
        </w:rPr>
        <w:tab/>
      </w:r>
      <w:r w:rsidRPr="00825DBD">
        <w:rPr>
          <w:b/>
          <w:bCs/>
          <w:szCs w:val="24"/>
        </w:rPr>
        <w:tab/>
      </w:r>
      <w:r>
        <w:fldChar w:fldCharType="begin"/>
      </w:r>
      <w:r>
        <w:instrText xml:space="preserve"> DOCVARIABLE </w:instrText>
      </w:r>
      <w:r>
        <w:instrText>AP_Job_Title</w:instrText>
      </w:r>
      <w:r>
        <w:instrText xml:space="preserve"> </w:instrText>
      </w:r>
      <w:r>
        <w:instrText>\*</w:instrText>
      </w:r>
      <w:r>
        <w:instrText xml:space="preserve"> </w:instrText>
      </w:r>
      <w:r>
        <w:instrText>MERGEFORMAT</w:instrText>
      </w:r>
      <w:r>
        <w:instrText xml:space="preserve"> </w:instrText>
      </w:r>
      <w:r>
        <w:fldChar w:fldCharType="separate"/>
      </w:r>
      <w:r>
        <w:t>Associate Controller, Yale School of Medicine, Deputy Dean Finance &amp; Administration</w:t>
      </w:r>
      <w:r>
        <w:fldChar w:fldCharType="end"/>
      </w:r>
    </w:p>
    <w:p w:rsidR="00B31E70" w:rsidRPr="00825DBD" w:rsidP="00B31E70" w14:paraId="0D691FEC" w14:textId="77777777">
      <w:pPr>
        <w:rPr>
          <w:b/>
          <w:bCs/>
          <w:szCs w:val="24"/>
        </w:rPr>
      </w:pPr>
      <w:r w:rsidRPr="00825DBD">
        <w:rPr>
          <w:b/>
          <w:bCs/>
          <w:szCs w:val="24"/>
        </w:rPr>
        <w:t>Document Administrator</w:t>
      </w:r>
      <w:r>
        <w:rPr>
          <w:b/>
          <w:bCs/>
          <w:szCs w:val="24"/>
        </w:rPr>
        <w:t xml:space="preserve">: </w:t>
      </w:r>
      <w:r w:rsidRPr="00825DBD">
        <w:rPr>
          <w:b/>
          <w:bCs/>
          <w:szCs w:val="24"/>
        </w:rPr>
        <w:tab/>
      </w:r>
      <w:r>
        <w:fldChar w:fldCharType="begin"/>
      </w:r>
      <w:r>
        <w:instrText xml:space="preserve"> DOCVARIABLE </w:instrText>
      </w:r>
      <w:r>
        <w:instrText>PO_Full_Name</w:instrText>
      </w:r>
      <w:r>
        <w:instrText xml:space="preserve"> </w:instrText>
      </w:r>
      <w:r>
        <w:instrText>\*</w:instrText>
      </w:r>
      <w:r>
        <w:instrText xml:space="preserve"> </w:instrText>
      </w:r>
      <w:r>
        <w:instrText>MERGEFORMAT</w:instrText>
      </w:r>
      <w:r>
        <w:instrText xml:space="preserve"> </w:instrText>
      </w:r>
      <w:r>
        <w:fldChar w:fldCharType="separate"/>
      </w:r>
      <w:r>
        <w:t>Kelsey Schieren</w:t>
      </w:r>
      <w:r>
        <w:fldChar w:fldCharType="end"/>
      </w:r>
    </w:p>
    <w:p w:rsidR="00B31E70" w:rsidP="00B31E70" w14:paraId="14FA4980" w14:textId="77777777">
      <w:pPr>
        <w:rPr>
          <w:sz w:val="18"/>
          <w:szCs w:val="18"/>
        </w:rPr>
      </w:pPr>
      <w:r w:rsidRPr="00825DBD">
        <w:rPr>
          <w:b/>
          <w:bCs/>
          <w:szCs w:val="24"/>
        </w:rPr>
        <w:t xml:space="preserve">Date of Origin: </w:t>
      </w:r>
      <w:r w:rsidRPr="00825DBD">
        <w:rPr>
          <w:b/>
          <w:bCs/>
          <w:szCs w:val="24"/>
        </w:rPr>
        <w:tab/>
      </w:r>
      <w:r w:rsidRPr="00825DBD">
        <w:rPr>
          <w:b/>
          <w:bCs/>
          <w:szCs w:val="24"/>
        </w:rPr>
        <w:tab/>
      </w:r>
      <w:r>
        <w:fldChar w:fldCharType="begin"/>
      </w:r>
      <w:r>
        <w:instrText xml:space="preserve"> DOCVARIABLE </w:instrText>
      </w:r>
      <w:r>
        <w:instrText>Original_Creation_Date</w:instrText>
      </w:r>
      <w:r>
        <w:instrText xml:space="preserve"> </w:instrText>
      </w:r>
      <w:r>
        <w:instrText>\*</w:instrText>
      </w:r>
      <w:r>
        <w:instrText xml:space="preserve"> </w:instrText>
      </w:r>
      <w:r>
        <w:instrText>MERGEFORMAT</w:instrText>
      </w:r>
      <w:r>
        <w:instrText xml:space="preserve"> </w:instrText>
      </w:r>
      <w:r>
        <w:fldChar w:fldCharType="separate"/>
      </w:r>
      <w:r>
        <w:t>01/27/2025</w:t>
      </w:r>
      <w:r>
        <w:fldChar w:fldCharType="end"/>
      </w:r>
    </w:p>
    <w:p w:rsidR="007179BB" w:rsidRPr="007D358A" w:rsidP="007D358A" w14:paraId="60E276C9" w14:textId="77777777">
      <w:pPr>
        <w:rPr>
          <w:b/>
          <w:bCs/>
          <w:szCs w:val="24"/>
        </w:rPr>
      </w:pPr>
      <w:r w:rsidRPr="00825DBD">
        <w:rPr>
          <w:b/>
          <w:bCs/>
          <w:szCs w:val="24"/>
        </w:rPr>
        <w:t>Approval Date</w:t>
      </w:r>
      <w:r>
        <w:rPr>
          <w:b/>
          <w:bCs/>
          <w:szCs w:val="24"/>
        </w:rPr>
        <w:t>:</w:t>
      </w:r>
      <w:r w:rsidRPr="00825DBD">
        <w:rPr>
          <w:b/>
          <w:bCs/>
          <w:szCs w:val="24"/>
        </w:rPr>
        <w:tab/>
      </w:r>
      <w:r w:rsidRPr="00825DBD">
        <w:rPr>
          <w:b/>
          <w:bCs/>
          <w:szCs w:val="24"/>
        </w:rPr>
        <w:tab/>
      </w:r>
      <w:r>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10/01/2025</w:t>
      </w:r>
      <w:r>
        <w:fldChar w:fldCharType="end"/>
      </w:r>
    </w:p>
    <w:p w:rsidR="0006084D" w:rsidP="00964C57" w14:paraId="6AF3DB34" w14:textId="77777777">
      <w:pPr>
        <w:pStyle w:val="FootNote"/>
      </w:pPr>
      <w:r>
        <w:t>The official version of this information will only be maintained in an on-line web format.  Any and all printed copies of this material are dated as of the print date.  Please make certain to review the material on-line prior to placing reliance on a dated printed version</w:t>
      </w:r>
      <w:r w:rsidR="00060D7C">
        <w:t>.</w:t>
      </w:r>
    </w:p>
    <w:p w:rsidR="00964C57" w:rsidP="00964C57" w14:paraId="282D4018" w14:textId="77777777">
      <w:pPr>
        <w:rPr>
          <w:sz w:val="16"/>
        </w:rPr>
      </w:pPr>
    </w:p>
    <w:p w:rsidR="00964C57" w:rsidP="00964C57" w14:paraId="6B00A944" w14:textId="77777777">
      <w:pPr>
        <w:rPr>
          <w:sz w:val="16"/>
        </w:rPr>
      </w:pPr>
    </w:p>
    <w:sectPr w:rsidSect="00641FF8">
      <w:headerReference w:type="even" r:id="rId18"/>
      <w:headerReference w:type="default" r:id="rId19"/>
      <w:footerReference w:type="even" r:id="rId20"/>
      <w:footerReference w:type="default" r:id="rId21"/>
      <w:headerReference w:type="first" r:id="rId22"/>
      <w:footerReference w:type="first" r:id="rId23"/>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120B7" w14:paraId="58713233" w14:textId="77777777">
      <w:pPr>
        <w:spacing w:before="0" w:after="0"/>
      </w:pPr>
      <w:r>
        <w:separator/>
      </w:r>
    </w:p>
  </w:endnote>
  <w:endnote w:type="continuationSeparator" w:id="1">
    <w:p w:rsidR="004120B7" w14:paraId="5088E799"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1854" w14:paraId="483C4CB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72907363"/>
      <w:docPartObj>
        <w:docPartGallery w:val="Page Numbers (Bottom of Page)"/>
        <w:docPartUnique/>
      </w:docPartObj>
    </w:sdtPr>
    <w:sdtContent>
      <w:sdt>
        <w:sdtPr>
          <w:id w:val="1469554471"/>
          <w:docPartObj>
            <w:docPartGallery w:val="Page Numbers (Top of Page)"/>
            <w:docPartUnique/>
          </w:docPartObj>
        </w:sdtPr>
        <w:sdtContent>
          <w:p w:rsidR="00ED0249" w:rsidP="000A6AF5" w14:paraId="5F33DC42" w14:textId="77777777">
            <w:pPr>
              <w:pBdr>
                <w:bottom w:val="single" w:sz="6" w:space="1" w:color="auto"/>
              </w:pBdr>
              <w:spacing w:before="0"/>
            </w:pPr>
          </w:p>
          <w:p w:rsidR="00ED0249" w:rsidP="000A6AF5" w14:paraId="6395B20E" w14:textId="77777777">
            <w:pPr>
              <w:spacing w:before="0"/>
            </w:pPr>
          </w:p>
          <w:p w:rsidR="00EF6513" w:rsidRPr="00823578" w:rsidP="00823578" w14:paraId="00DCBA60"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8</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83088347"/>
      <w:docPartObj>
        <w:docPartGallery w:val="Page Numbers (Bottom of Page)"/>
        <w:docPartUnique/>
      </w:docPartObj>
    </w:sdtPr>
    <w:sdtContent>
      <w:sdt>
        <w:sdtPr>
          <w:id w:val="1377988811"/>
          <w:docPartObj>
            <w:docPartGallery w:val="Page Numbers (Top of Page)"/>
            <w:docPartUnique/>
          </w:docPartObj>
        </w:sdtPr>
        <w:sdtContent>
          <w:p w:rsidR="00823578" w14:paraId="31D4BDD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8</w:t>
            </w:r>
            <w:r>
              <w:rPr>
                <w:b/>
                <w:bCs/>
                <w:sz w:val="24"/>
                <w:szCs w:val="24"/>
              </w:rPr>
              <w:fldChar w:fldCharType="end"/>
            </w:r>
          </w:p>
        </w:sdtContent>
      </w:sdt>
    </w:sdtContent>
  </w:sdt>
  <w:p w:rsidR="00970B5C" w14:paraId="4983EC6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120B7" w14:paraId="44FE4227" w14:textId="77777777">
      <w:pPr>
        <w:spacing w:before="0" w:after="0"/>
      </w:pPr>
      <w:r>
        <w:separator/>
      </w:r>
    </w:p>
  </w:footnote>
  <w:footnote w:type="continuationSeparator" w:id="1">
    <w:p w:rsidR="004120B7" w14:paraId="59182975" w14:textId="7777777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354" w14:paraId="5E98225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6354" w14:paraId="6BF33330"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7E9" w:rsidP="00EC53A3" w14:paraId="62D24AFC" w14:textId="77777777">
    <w:pPr>
      <w:pStyle w:val="DocTitle"/>
    </w:pPr>
    <w:r>
      <w:rPr>
        <w:noProof/>
      </w:rPr>
      <w:drawing>
        <wp:inline distT="0" distB="0" distL="0" distR="0">
          <wp:extent cx="4434840" cy="326136"/>
          <wp:effectExtent l="0" t="0" r="3810" b="0"/>
          <wp:docPr id="1624193070" name="Picture 1" descr="CorpImageID_0_2_2%7c1%7c0%7c2%7c2%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193070" name="Picture 1" descr="CorpImageID_0_2_2%7c1%7c0%7c2%7c2%7c"/>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4840" cy="326136"/>
                  </a:xfrm>
                  <a:prstGeom prst="rect">
                    <a:avLst/>
                  </a:prstGeom>
                </pic:spPr>
              </pic:pic>
            </a:graphicData>
          </a:graphic>
        </wp:inline>
      </w:drawing>
    </w:r>
  </w:p>
  <w:p w:rsidR="0089723F" w:rsidRPr="00EC53A3" w:rsidP="00EC53A3" w14:paraId="38939F6B" w14:textId="77777777">
    <w:pPr>
      <w:pStyle w:val="DocTitle"/>
    </w:pPr>
    <w:r>
      <w:fldChar w:fldCharType="begin"/>
    </w:r>
    <w:r>
      <w:instrText xml:space="preserve"> DOCVARIABLE </w:instrText>
    </w:r>
    <w:r>
      <w:instrText>Document_Title</w:instrText>
    </w:r>
    <w:r>
      <w:instrText xml:space="preserve"> </w:instrText>
    </w:r>
    <w:r>
      <w:instrText>\*</w:instrText>
    </w:r>
    <w:r>
      <w:instrText xml:space="preserve"> </w:instrText>
    </w:r>
    <w:r>
      <w:instrText>MERGEFORMAT</w:instrText>
    </w:r>
    <w:r>
      <w:instrText xml:space="preserve"> </w:instrText>
    </w:r>
    <w:r>
      <w:fldChar w:fldCharType="separate"/>
    </w:r>
    <w:r>
      <w:t>Research Studies with Billable Clinical Services - Policy</w:t>
    </w:r>
    <w:r>
      <w:fldChar w:fldCharType="end"/>
    </w:r>
  </w:p>
  <w:p w:rsidR="00B25E5B" w:rsidRPr="00527DB8" w:rsidP="00C454DB" w14:paraId="1257A364" w14:textId="77777777">
    <w:pPr>
      <w:spacing w:before="0" w:line="276" w:lineRule="auto"/>
      <w:rPr>
        <w:sz w:val="18"/>
        <w:szCs w:val="18"/>
      </w:rPr>
    </w:pPr>
    <w:r w:rsidRPr="00825DBD">
      <w:rPr>
        <w:b/>
        <w:bCs/>
        <w:szCs w:val="24"/>
      </w:rPr>
      <w:t>Responsible Office:</w:t>
    </w:r>
    <w:r w:rsidRPr="00825DBD">
      <w:rPr>
        <w:b/>
        <w:bCs/>
        <w:szCs w:val="24"/>
      </w:rPr>
      <w:tab/>
    </w:r>
    <w:r w:rsidRPr="00825DBD">
      <w:rPr>
        <w:b/>
        <w:bCs/>
        <w:szCs w:val="24"/>
      </w:rPr>
      <w:tab/>
    </w:r>
    <w:r>
      <w:fldChar w:fldCharType="begin"/>
    </w:r>
    <w:r>
      <w:instrText xml:space="preserve"> DOCVARIABLE </w:instrText>
    </w:r>
    <w:r>
      <w:instrText>WR_Department</w:instrText>
    </w:r>
    <w:r>
      <w:instrText xml:space="preserve"> </w:instrText>
    </w:r>
    <w:r>
      <w:instrText>\*</w:instrText>
    </w:r>
    <w:r>
      <w:instrText xml:space="preserve"> </w:instrText>
    </w:r>
    <w:r>
      <w:instrText>MERGEFORMAT</w:instrText>
    </w:r>
    <w:r>
      <w:instrText xml:space="preserve"> </w:instrText>
    </w:r>
    <w:r>
      <w:fldChar w:fldCharType="separate"/>
    </w:r>
    <w:r>
      <w:t>MEDCCI Yale Center for Clinical Investigation (YCCI), MEDFIN Finance and Administration</w:t>
    </w:r>
    <w:r>
      <w:fldChar w:fldCharType="end"/>
    </w:r>
    <w:r w:rsidRPr="009A518F" w:rsidR="004D0B0B">
      <w:t xml:space="preserve"> </w:t>
    </w:r>
  </w:p>
  <w:p w:rsidR="00B25E5B" w:rsidRPr="000B515B" w:rsidP="000B515B" w14:paraId="4723ECCC" w14:textId="77777777">
    <w:pPr>
      <w:spacing w:before="0"/>
      <w:rPr>
        <w:sz w:val="18"/>
        <w:szCs w:val="18"/>
      </w:rPr>
    </w:pPr>
    <w:r>
      <w:rPr>
        <w:b/>
        <w:bCs/>
        <w:szCs w:val="24"/>
      </w:rPr>
      <w:t>Policy</w:t>
    </w:r>
    <w:r w:rsidRPr="00825DBD" w:rsidR="00AA004D">
      <w:rPr>
        <w:b/>
        <w:bCs/>
        <w:szCs w:val="24"/>
      </w:rPr>
      <w:t xml:space="preserve"> Sponsor:</w:t>
    </w:r>
    <w:r w:rsidRPr="00825DBD" w:rsidR="00AA004D">
      <w:rPr>
        <w:b/>
        <w:bCs/>
        <w:szCs w:val="24"/>
      </w:rPr>
      <w:tab/>
    </w:r>
    <w:r w:rsidRPr="00825DBD" w:rsidR="00AA004D">
      <w:rPr>
        <w:b/>
        <w:bCs/>
        <w:szCs w:val="24"/>
      </w:rPr>
      <w:tab/>
    </w:r>
    <w:r>
      <w:fldChar w:fldCharType="begin"/>
    </w:r>
    <w:r>
      <w:instrText xml:space="preserve"> DOCVARIABLE </w:instrText>
    </w:r>
    <w:r>
      <w:instrText>WR_Both</w:instrText>
    </w:r>
    <w:r>
      <w:instrText xml:space="preserve"> </w:instrText>
    </w:r>
    <w:r>
      <w:instrText>\*</w:instrText>
    </w:r>
    <w:r>
      <w:instrText xml:space="preserve"> </w:instrText>
    </w:r>
    <w:r>
      <w:instrText>MERGEFORMAT</w:instrText>
    </w:r>
    <w:r>
      <w:instrText xml:space="preserve"> </w:instrText>
    </w:r>
    <w:r>
      <w:fldChar w:fldCharType="separate"/>
    </w:r>
    <w:r>
      <w:t>David Coleman, Jess Caponigro (Associate Controller, Yale School of Medicine)</w:t>
    </w:r>
    <w:r>
      <w:fldChar w:fldCharType="end"/>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r w:rsidRPr="00825DBD" w:rsidR="00AA004D">
      <w:rPr>
        <w:b/>
        <w:bCs/>
        <w:szCs w:val="24"/>
      </w:rPr>
      <w:tab/>
    </w:r>
  </w:p>
  <w:p w:rsidR="00EA07CA" w:rsidRPr="00AF1AF3" w:rsidP="00AF1AF3" w14:paraId="48403429" w14:textId="77777777">
    <w:pPr>
      <w:pBdr>
        <w:bottom w:val="single" w:sz="6" w:space="1" w:color="auto"/>
      </w:pBdr>
      <w:spacing w:line="600" w:lineRule="auto"/>
      <w:rPr>
        <w:sz w:val="18"/>
        <w:szCs w:val="18"/>
      </w:rPr>
    </w:pPr>
    <w:r w:rsidRPr="00825DBD">
      <w:rPr>
        <w:b/>
        <w:bCs/>
        <w:szCs w:val="24"/>
      </w:rPr>
      <w:t>Effective Date:</w:t>
    </w:r>
    <w:r w:rsidRPr="00825DBD">
      <w:rPr>
        <w:b/>
        <w:bCs/>
        <w:szCs w:val="24"/>
      </w:rPr>
      <w:tab/>
    </w:r>
    <w:r w:rsidRPr="00825DBD">
      <w:rPr>
        <w:b/>
        <w:bCs/>
        <w:szCs w:val="24"/>
      </w:rPr>
      <w:tab/>
    </w:r>
    <w:r w:rsidR="006161C7">
      <w:rPr>
        <w:b/>
        <w:bCs/>
        <w:szCs w:val="24"/>
      </w:rPr>
      <w:tab/>
    </w:r>
    <w:r>
      <w:fldChar w:fldCharType="begin"/>
    </w:r>
    <w:r>
      <w:instrText xml:space="preserve"> DOCVARIABLE </w:instrText>
    </w:r>
    <w:r>
      <w:instrText>Date_Approved</w:instrText>
    </w:r>
    <w:r>
      <w:instrText xml:space="preserve"> </w:instrText>
    </w:r>
    <w:r>
      <w:instrText>\*</w:instrText>
    </w:r>
    <w:r>
      <w:instrText xml:space="preserve"> </w:instrText>
    </w:r>
    <w:r>
      <w:instrText>MERGEFORMAT</w:instrText>
    </w:r>
    <w:r>
      <w:instrText xml:space="preserve"> </w:instrText>
    </w:r>
    <w:r>
      <w:fldChar w:fldCharType="separate"/>
    </w:r>
    <w:r>
      <w:t>10/01/2025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522299C"/>
    <w:multiLevelType w:val="hybridMultilevel"/>
    <w:tmpl w:val="E2E284E8"/>
    <w:lvl w:ilvl="0">
      <w:start w:val="1"/>
      <w:numFmt w:val="decimal"/>
      <w:lvlText w:val="%1."/>
      <w:lvlJc w:val="left"/>
      <w:pPr>
        <w:ind w:left="1220" w:hanging="360"/>
      </w:pPr>
      <w:rPr>
        <w:rFonts w:ascii="Arial" w:eastAsia="Arial" w:hAnsi="Arial" w:cs="Arial" w:hint="default"/>
        <w:b w:val="0"/>
        <w:bCs w:val="0"/>
        <w:i w:val="0"/>
        <w:iCs w:val="0"/>
        <w:spacing w:val="-2"/>
        <w:w w:val="100"/>
        <w:sz w:val="20"/>
        <w:szCs w:val="20"/>
        <w:lang w:val="en-US" w:eastAsia="en-US" w:bidi="ar-SA"/>
      </w:rPr>
    </w:lvl>
    <w:lvl w:ilvl="1">
      <w:start w:val="0"/>
      <w:numFmt w:val="bullet"/>
      <w:lvlText w:val="•"/>
      <w:lvlJc w:val="left"/>
      <w:pPr>
        <w:ind w:left="2062" w:hanging="360"/>
      </w:pPr>
      <w:rPr>
        <w:rFonts w:hint="default"/>
        <w:lang w:val="en-US" w:eastAsia="en-US" w:bidi="ar-SA"/>
      </w:rPr>
    </w:lvl>
    <w:lvl w:ilvl="2">
      <w:start w:val="0"/>
      <w:numFmt w:val="bullet"/>
      <w:lvlText w:val="•"/>
      <w:lvlJc w:val="left"/>
      <w:pPr>
        <w:ind w:left="2904" w:hanging="360"/>
      </w:pPr>
      <w:rPr>
        <w:rFonts w:hint="default"/>
        <w:lang w:val="en-US" w:eastAsia="en-US" w:bidi="ar-SA"/>
      </w:rPr>
    </w:lvl>
    <w:lvl w:ilvl="3">
      <w:start w:val="0"/>
      <w:numFmt w:val="bullet"/>
      <w:lvlText w:val="•"/>
      <w:lvlJc w:val="left"/>
      <w:pPr>
        <w:ind w:left="3746" w:hanging="360"/>
      </w:pPr>
      <w:rPr>
        <w:rFonts w:hint="default"/>
        <w:lang w:val="en-US" w:eastAsia="en-US" w:bidi="ar-SA"/>
      </w:rPr>
    </w:lvl>
    <w:lvl w:ilvl="4">
      <w:start w:val="0"/>
      <w:numFmt w:val="bullet"/>
      <w:lvlText w:val="•"/>
      <w:lvlJc w:val="left"/>
      <w:pPr>
        <w:ind w:left="4588" w:hanging="360"/>
      </w:pPr>
      <w:rPr>
        <w:rFonts w:hint="default"/>
        <w:lang w:val="en-US" w:eastAsia="en-US" w:bidi="ar-SA"/>
      </w:rPr>
    </w:lvl>
    <w:lvl w:ilvl="5">
      <w:start w:val="0"/>
      <w:numFmt w:val="bullet"/>
      <w:lvlText w:val="•"/>
      <w:lvlJc w:val="left"/>
      <w:pPr>
        <w:ind w:left="5430" w:hanging="360"/>
      </w:pPr>
      <w:rPr>
        <w:rFonts w:hint="default"/>
        <w:lang w:val="en-US" w:eastAsia="en-US" w:bidi="ar-SA"/>
      </w:rPr>
    </w:lvl>
    <w:lvl w:ilvl="6">
      <w:start w:val="0"/>
      <w:numFmt w:val="bullet"/>
      <w:lvlText w:val="•"/>
      <w:lvlJc w:val="left"/>
      <w:pPr>
        <w:ind w:left="6272" w:hanging="360"/>
      </w:pPr>
      <w:rPr>
        <w:rFonts w:hint="default"/>
        <w:lang w:val="en-US" w:eastAsia="en-US" w:bidi="ar-SA"/>
      </w:rPr>
    </w:lvl>
    <w:lvl w:ilvl="7">
      <w:start w:val="0"/>
      <w:numFmt w:val="bullet"/>
      <w:lvlText w:val="•"/>
      <w:lvlJc w:val="left"/>
      <w:pPr>
        <w:ind w:left="7114" w:hanging="360"/>
      </w:pPr>
      <w:rPr>
        <w:rFonts w:hint="default"/>
        <w:lang w:val="en-US" w:eastAsia="en-US" w:bidi="ar-SA"/>
      </w:rPr>
    </w:lvl>
    <w:lvl w:ilvl="8">
      <w:start w:val="0"/>
      <w:numFmt w:val="bullet"/>
      <w:lvlText w:val="•"/>
      <w:lvlJc w:val="left"/>
      <w:pPr>
        <w:ind w:left="7956" w:hanging="360"/>
      </w:pPr>
      <w:rPr>
        <w:rFonts w:hint="default"/>
        <w:lang w:val="en-US" w:eastAsia="en-US" w:bidi="ar-SA"/>
      </w:rPr>
    </w:lvl>
  </w:abstractNum>
  <w:abstractNum w:abstractNumId="1"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8BA7D68"/>
    <w:multiLevelType w:val="singleLevel"/>
    <w:tmpl w:val="08E20038"/>
    <w:lvl w:ilvl="0">
      <w:start w:val="1"/>
      <w:numFmt w:val="bullet"/>
      <w:pStyle w:val="SectionBullet"/>
      <w:lvlText w:val=""/>
      <w:lvlJc w:val="left"/>
      <w:pPr>
        <w:tabs>
          <w:tab w:val="num" w:pos="360"/>
        </w:tabs>
        <w:ind w:left="360" w:hanging="360"/>
      </w:pPr>
      <w:rPr>
        <w:rFonts w:ascii="Symbol" w:hAnsi="Symbol" w:hint="default"/>
      </w:rPr>
    </w:lvl>
  </w:abstractNum>
  <w:abstractNum w:abstractNumId="3"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1AE15A2C"/>
    <w:multiLevelType w:val="singleLevel"/>
    <w:tmpl w:val="04090001"/>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41761B30"/>
    <w:multiLevelType w:val="multilevel"/>
    <w:tmpl w:val="E9089506"/>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4C447F9C"/>
    <w:multiLevelType w:val="singleLevel"/>
    <w:tmpl w:val="653AE61E"/>
    <w:lvl w:ilvl="0">
      <w:start w:val="1"/>
      <w:numFmt w:val="decimal"/>
      <w:pStyle w:val="SectionNumberedList"/>
      <w:lvlText w:val="%1."/>
      <w:lvlJc w:val="left"/>
      <w:pPr>
        <w:tabs>
          <w:tab w:val="num" w:pos="1080"/>
        </w:tabs>
        <w:ind w:left="1080" w:hanging="360"/>
      </w:pPr>
      <w:rPr>
        <w:rFonts w:hint="default"/>
      </w:rPr>
    </w:lvl>
  </w:abstractNum>
  <w:abstractNum w:abstractNumId="9" w15:restartNumberingAfterBreak="0">
    <w:nsid w:val="4EBE1355"/>
    <w:multiLevelType w:val="singleLevel"/>
    <w:tmpl w:val="A91658DA"/>
    <w:lvl w:ilvl="0">
      <w:start w:val="1"/>
      <w:numFmt w:val="bullet"/>
      <w:pStyle w:val="SectionBullet2"/>
      <w:lvlText w:val=""/>
      <w:lvlJc w:val="left"/>
      <w:pPr>
        <w:tabs>
          <w:tab w:val="num" w:pos="360"/>
        </w:tabs>
        <w:ind w:left="360" w:hanging="360"/>
      </w:pPr>
      <w:rPr>
        <w:rFonts w:ascii="Wingdings" w:hAnsi="Wingdings" w:hint="default"/>
      </w:rPr>
    </w:lvl>
  </w:abstractNum>
  <w:abstractNum w:abstractNumId="10"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15:restartNumberingAfterBreak="0">
    <w:nsid w:val="624B280A"/>
    <w:multiLevelType w:val="singleLevel"/>
    <w:tmpl w:val="F03812F0"/>
    <w:lvl w:ilvl="0">
      <w:start w:val="1"/>
      <w:numFmt w:val="bullet"/>
      <w:pStyle w:val="Bullet"/>
      <w:lvlText w:val=""/>
      <w:lvlJc w:val="left"/>
      <w:pPr>
        <w:tabs>
          <w:tab w:val="num" w:pos="360"/>
        </w:tabs>
        <w:ind w:left="360" w:hanging="360"/>
      </w:pPr>
      <w:rPr>
        <w:rFonts w:ascii="Symbol" w:hAnsi="Symbol" w:hint="default"/>
      </w:rPr>
    </w:lvl>
  </w:abstractNum>
  <w:abstractNum w:abstractNumId="12"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6373738F"/>
    <w:multiLevelType w:val="hybridMultilevel"/>
    <w:tmpl w:val="3052447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7D447DBA"/>
    <w:multiLevelType w:val="multilevel"/>
    <w:tmpl w:val="91AE3F6A"/>
    <w:lvl w:ilvl="0">
      <w:start w:val="1"/>
      <w:numFmt w:val="decimal"/>
      <w:pStyle w:val="1-PolicySectionlevel"/>
      <w:lvlText w:val="%1."/>
      <w:lvlJc w:val="left"/>
      <w:pPr>
        <w:ind w:left="360" w:hanging="360"/>
      </w:pPr>
      <w:rPr>
        <w:rFonts w:hint="default"/>
      </w:rPr>
    </w:lvl>
    <w:lvl w:ilvl="1">
      <w:start w:val="1"/>
      <w:numFmt w:val="decimal"/>
      <w:pStyle w:val="2-PolicySectionLeve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13484118">
    <w:abstractNumId w:val="5"/>
  </w:num>
  <w:num w:numId="2" w16cid:durableId="1289582430">
    <w:abstractNumId w:val="11"/>
  </w:num>
  <w:num w:numId="3" w16cid:durableId="1479885800">
    <w:abstractNumId w:val="2"/>
  </w:num>
  <w:num w:numId="4" w16cid:durableId="1457530301">
    <w:abstractNumId w:val="8"/>
  </w:num>
  <w:num w:numId="5" w16cid:durableId="1026715395">
    <w:abstractNumId w:val="9"/>
  </w:num>
  <w:num w:numId="6" w16cid:durableId="1148597849">
    <w:abstractNumId w:val="7"/>
  </w:num>
  <w:num w:numId="7" w16cid:durableId="1623464680">
    <w:abstractNumId w:val="14"/>
  </w:num>
  <w:num w:numId="8" w16cid:durableId="14572195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267749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124163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0477908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5188384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1922284">
    <w:abstractNumId w:val="4"/>
  </w:num>
  <w:num w:numId="14" w16cid:durableId="1325205264">
    <w:abstractNumId w:val="10"/>
  </w:num>
  <w:num w:numId="15" w16cid:durableId="218789852">
    <w:abstractNumId w:val="6"/>
  </w:num>
  <w:num w:numId="16" w16cid:durableId="1349061707">
    <w:abstractNumId w:val="0"/>
  </w:num>
  <w:num w:numId="17" w16cid:durableId="771314265">
    <w:abstractNumId w:val="1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AED"/>
    <w:rsid w:val="00001E6D"/>
    <w:rsid w:val="00003325"/>
    <w:rsid w:val="00003662"/>
    <w:rsid w:val="00003758"/>
    <w:rsid w:val="00004F04"/>
    <w:rsid w:val="000058F3"/>
    <w:rsid w:val="00006B3C"/>
    <w:rsid w:val="00010B0E"/>
    <w:rsid w:val="00011C9A"/>
    <w:rsid w:val="0001221A"/>
    <w:rsid w:val="0001230E"/>
    <w:rsid w:val="00016EA6"/>
    <w:rsid w:val="00020CF8"/>
    <w:rsid w:val="000213C0"/>
    <w:rsid w:val="000218E3"/>
    <w:rsid w:val="00021F2B"/>
    <w:rsid w:val="00023948"/>
    <w:rsid w:val="00024A35"/>
    <w:rsid w:val="000268DE"/>
    <w:rsid w:val="00026ACE"/>
    <w:rsid w:val="000276AF"/>
    <w:rsid w:val="000325E2"/>
    <w:rsid w:val="00032FE2"/>
    <w:rsid w:val="00033A7E"/>
    <w:rsid w:val="00034081"/>
    <w:rsid w:val="00036780"/>
    <w:rsid w:val="000368ED"/>
    <w:rsid w:val="000414B0"/>
    <w:rsid w:val="00041D62"/>
    <w:rsid w:val="00041E7A"/>
    <w:rsid w:val="00043F15"/>
    <w:rsid w:val="000447C2"/>
    <w:rsid w:val="00044F5D"/>
    <w:rsid w:val="0004646A"/>
    <w:rsid w:val="00047249"/>
    <w:rsid w:val="00050B29"/>
    <w:rsid w:val="00051C36"/>
    <w:rsid w:val="00051FF1"/>
    <w:rsid w:val="00052227"/>
    <w:rsid w:val="0006084D"/>
    <w:rsid w:val="00060971"/>
    <w:rsid w:val="00060D7C"/>
    <w:rsid w:val="00062DAF"/>
    <w:rsid w:val="00074574"/>
    <w:rsid w:val="00075E20"/>
    <w:rsid w:val="000765DA"/>
    <w:rsid w:val="0007688E"/>
    <w:rsid w:val="000800F8"/>
    <w:rsid w:val="00080E8A"/>
    <w:rsid w:val="00081824"/>
    <w:rsid w:val="00082237"/>
    <w:rsid w:val="00082C60"/>
    <w:rsid w:val="00082D92"/>
    <w:rsid w:val="000838BF"/>
    <w:rsid w:val="00087375"/>
    <w:rsid w:val="00090030"/>
    <w:rsid w:val="00092D73"/>
    <w:rsid w:val="000966FE"/>
    <w:rsid w:val="0009692D"/>
    <w:rsid w:val="0009717D"/>
    <w:rsid w:val="000A0153"/>
    <w:rsid w:val="000A0791"/>
    <w:rsid w:val="000A2840"/>
    <w:rsid w:val="000A3984"/>
    <w:rsid w:val="000A3FA0"/>
    <w:rsid w:val="000A50ED"/>
    <w:rsid w:val="000A6504"/>
    <w:rsid w:val="000A6AF5"/>
    <w:rsid w:val="000A7E25"/>
    <w:rsid w:val="000B0238"/>
    <w:rsid w:val="000B0334"/>
    <w:rsid w:val="000B1591"/>
    <w:rsid w:val="000B4C88"/>
    <w:rsid w:val="000B515B"/>
    <w:rsid w:val="000C0189"/>
    <w:rsid w:val="000C1D37"/>
    <w:rsid w:val="000C3E72"/>
    <w:rsid w:val="000C7A92"/>
    <w:rsid w:val="000D0E68"/>
    <w:rsid w:val="000D1C89"/>
    <w:rsid w:val="000D27FB"/>
    <w:rsid w:val="000D31E8"/>
    <w:rsid w:val="000D4787"/>
    <w:rsid w:val="000D50AC"/>
    <w:rsid w:val="000D64CF"/>
    <w:rsid w:val="000D6C12"/>
    <w:rsid w:val="000D6CD5"/>
    <w:rsid w:val="000D72EA"/>
    <w:rsid w:val="000E0CAE"/>
    <w:rsid w:val="000E350A"/>
    <w:rsid w:val="000E48B8"/>
    <w:rsid w:val="000E61AA"/>
    <w:rsid w:val="000E7503"/>
    <w:rsid w:val="000E7C4D"/>
    <w:rsid w:val="000F032D"/>
    <w:rsid w:val="000F62B4"/>
    <w:rsid w:val="000F69D3"/>
    <w:rsid w:val="000F7C3F"/>
    <w:rsid w:val="001005D9"/>
    <w:rsid w:val="00103082"/>
    <w:rsid w:val="0010327F"/>
    <w:rsid w:val="00105D79"/>
    <w:rsid w:val="00111D68"/>
    <w:rsid w:val="00112EA1"/>
    <w:rsid w:val="001163CC"/>
    <w:rsid w:val="00117650"/>
    <w:rsid w:val="001243BC"/>
    <w:rsid w:val="00124654"/>
    <w:rsid w:val="001252EB"/>
    <w:rsid w:val="0012629D"/>
    <w:rsid w:val="00126645"/>
    <w:rsid w:val="00126F3D"/>
    <w:rsid w:val="00130BB8"/>
    <w:rsid w:val="00133F97"/>
    <w:rsid w:val="00135A76"/>
    <w:rsid w:val="00136BA4"/>
    <w:rsid w:val="001377B2"/>
    <w:rsid w:val="00137C09"/>
    <w:rsid w:val="00141C0C"/>
    <w:rsid w:val="001426D8"/>
    <w:rsid w:val="001433C2"/>
    <w:rsid w:val="0014354B"/>
    <w:rsid w:val="00144526"/>
    <w:rsid w:val="00145899"/>
    <w:rsid w:val="001458F3"/>
    <w:rsid w:val="001465B7"/>
    <w:rsid w:val="00146FB0"/>
    <w:rsid w:val="00151D0F"/>
    <w:rsid w:val="00152067"/>
    <w:rsid w:val="00154494"/>
    <w:rsid w:val="001562A5"/>
    <w:rsid w:val="00156327"/>
    <w:rsid w:val="00162C3D"/>
    <w:rsid w:val="00163236"/>
    <w:rsid w:val="00163B9F"/>
    <w:rsid w:val="00165122"/>
    <w:rsid w:val="0017042A"/>
    <w:rsid w:val="00171059"/>
    <w:rsid w:val="00173605"/>
    <w:rsid w:val="001761A0"/>
    <w:rsid w:val="00177AC6"/>
    <w:rsid w:val="00177C10"/>
    <w:rsid w:val="00180611"/>
    <w:rsid w:val="00180CE2"/>
    <w:rsid w:val="00182159"/>
    <w:rsid w:val="00183426"/>
    <w:rsid w:val="00184CFD"/>
    <w:rsid w:val="001875B9"/>
    <w:rsid w:val="00187CFA"/>
    <w:rsid w:val="0019604E"/>
    <w:rsid w:val="001A040A"/>
    <w:rsid w:val="001A1981"/>
    <w:rsid w:val="001A2BCF"/>
    <w:rsid w:val="001A4E6D"/>
    <w:rsid w:val="001A65D4"/>
    <w:rsid w:val="001A6664"/>
    <w:rsid w:val="001B1411"/>
    <w:rsid w:val="001B363A"/>
    <w:rsid w:val="001B5CC1"/>
    <w:rsid w:val="001B6B98"/>
    <w:rsid w:val="001B7499"/>
    <w:rsid w:val="001B7ACC"/>
    <w:rsid w:val="001C13D1"/>
    <w:rsid w:val="001C3A51"/>
    <w:rsid w:val="001C592D"/>
    <w:rsid w:val="001D00E7"/>
    <w:rsid w:val="001D0518"/>
    <w:rsid w:val="001D1F77"/>
    <w:rsid w:val="001D2F7B"/>
    <w:rsid w:val="001D3861"/>
    <w:rsid w:val="001D4E33"/>
    <w:rsid w:val="001D5C2F"/>
    <w:rsid w:val="001D5CEC"/>
    <w:rsid w:val="001D76B3"/>
    <w:rsid w:val="001E0B69"/>
    <w:rsid w:val="001E2903"/>
    <w:rsid w:val="001E66A1"/>
    <w:rsid w:val="001F14C9"/>
    <w:rsid w:val="001F2229"/>
    <w:rsid w:val="001F40F6"/>
    <w:rsid w:val="001F45AD"/>
    <w:rsid w:val="001F4B92"/>
    <w:rsid w:val="001F645F"/>
    <w:rsid w:val="001F64A9"/>
    <w:rsid w:val="001F754D"/>
    <w:rsid w:val="0020028F"/>
    <w:rsid w:val="00201C64"/>
    <w:rsid w:val="002046B8"/>
    <w:rsid w:val="00205EFE"/>
    <w:rsid w:val="00206690"/>
    <w:rsid w:val="00207563"/>
    <w:rsid w:val="0021041E"/>
    <w:rsid w:val="002106A8"/>
    <w:rsid w:val="00210E38"/>
    <w:rsid w:val="00210F37"/>
    <w:rsid w:val="002130D2"/>
    <w:rsid w:val="00213471"/>
    <w:rsid w:val="002146E6"/>
    <w:rsid w:val="0021767D"/>
    <w:rsid w:val="00220209"/>
    <w:rsid w:val="00220937"/>
    <w:rsid w:val="00221D92"/>
    <w:rsid w:val="00222BCB"/>
    <w:rsid w:val="00223FDE"/>
    <w:rsid w:val="00225FFD"/>
    <w:rsid w:val="00227CE9"/>
    <w:rsid w:val="00230FAA"/>
    <w:rsid w:val="0023220D"/>
    <w:rsid w:val="0023230D"/>
    <w:rsid w:val="002331FD"/>
    <w:rsid w:val="0023520D"/>
    <w:rsid w:val="002373A7"/>
    <w:rsid w:val="00237D7E"/>
    <w:rsid w:val="002407E6"/>
    <w:rsid w:val="00240ED0"/>
    <w:rsid w:val="00241A4B"/>
    <w:rsid w:val="00242272"/>
    <w:rsid w:val="002422EA"/>
    <w:rsid w:val="0025006B"/>
    <w:rsid w:val="00250327"/>
    <w:rsid w:val="00252658"/>
    <w:rsid w:val="00253902"/>
    <w:rsid w:val="002539BC"/>
    <w:rsid w:val="00254D6C"/>
    <w:rsid w:val="002550E4"/>
    <w:rsid w:val="00255359"/>
    <w:rsid w:val="0025701C"/>
    <w:rsid w:val="0026089D"/>
    <w:rsid w:val="00261D79"/>
    <w:rsid w:val="002633AA"/>
    <w:rsid w:val="00264CDF"/>
    <w:rsid w:val="00271F05"/>
    <w:rsid w:val="00271F83"/>
    <w:rsid w:val="00272A83"/>
    <w:rsid w:val="00272AE8"/>
    <w:rsid w:val="00275DEF"/>
    <w:rsid w:val="002761E6"/>
    <w:rsid w:val="00277BC2"/>
    <w:rsid w:val="00281385"/>
    <w:rsid w:val="0028187D"/>
    <w:rsid w:val="00282C9E"/>
    <w:rsid w:val="00286466"/>
    <w:rsid w:val="002867DA"/>
    <w:rsid w:val="00286C32"/>
    <w:rsid w:val="002875E0"/>
    <w:rsid w:val="00287AAA"/>
    <w:rsid w:val="002901B7"/>
    <w:rsid w:val="00291F63"/>
    <w:rsid w:val="00291FF2"/>
    <w:rsid w:val="00292828"/>
    <w:rsid w:val="0029393D"/>
    <w:rsid w:val="00296545"/>
    <w:rsid w:val="002A064F"/>
    <w:rsid w:val="002A1485"/>
    <w:rsid w:val="002A476D"/>
    <w:rsid w:val="002A4F44"/>
    <w:rsid w:val="002A54B1"/>
    <w:rsid w:val="002A6577"/>
    <w:rsid w:val="002A6B19"/>
    <w:rsid w:val="002B110C"/>
    <w:rsid w:val="002B27BA"/>
    <w:rsid w:val="002B521A"/>
    <w:rsid w:val="002B545A"/>
    <w:rsid w:val="002C1D2E"/>
    <w:rsid w:val="002C6356"/>
    <w:rsid w:val="002C67A2"/>
    <w:rsid w:val="002C67AF"/>
    <w:rsid w:val="002D00C7"/>
    <w:rsid w:val="002D03B1"/>
    <w:rsid w:val="002D1E4F"/>
    <w:rsid w:val="002D2287"/>
    <w:rsid w:val="002D3192"/>
    <w:rsid w:val="002D528B"/>
    <w:rsid w:val="002D561C"/>
    <w:rsid w:val="002E0B5B"/>
    <w:rsid w:val="002E511E"/>
    <w:rsid w:val="002E6EC7"/>
    <w:rsid w:val="002F754F"/>
    <w:rsid w:val="00301C42"/>
    <w:rsid w:val="00302610"/>
    <w:rsid w:val="00303150"/>
    <w:rsid w:val="003032F3"/>
    <w:rsid w:val="00303B47"/>
    <w:rsid w:val="00303BC5"/>
    <w:rsid w:val="00303F7C"/>
    <w:rsid w:val="00304BEC"/>
    <w:rsid w:val="003063F8"/>
    <w:rsid w:val="00306ADF"/>
    <w:rsid w:val="00313C4F"/>
    <w:rsid w:val="00314D37"/>
    <w:rsid w:val="003168B2"/>
    <w:rsid w:val="003169D3"/>
    <w:rsid w:val="00317B85"/>
    <w:rsid w:val="00317F58"/>
    <w:rsid w:val="003226A5"/>
    <w:rsid w:val="00322AF8"/>
    <w:rsid w:val="003230D6"/>
    <w:rsid w:val="00327E28"/>
    <w:rsid w:val="003327E9"/>
    <w:rsid w:val="00333DD7"/>
    <w:rsid w:val="00334BE8"/>
    <w:rsid w:val="003353AA"/>
    <w:rsid w:val="00335D07"/>
    <w:rsid w:val="00336760"/>
    <w:rsid w:val="00340753"/>
    <w:rsid w:val="003409A0"/>
    <w:rsid w:val="0034306C"/>
    <w:rsid w:val="00346954"/>
    <w:rsid w:val="00347500"/>
    <w:rsid w:val="003504B0"/>
    <w:rsid w:val="0035264A"/>
    <w:rsid w:val="0035349C"/>
    <w:rsid w:val="0035454F"/>
    <w:rsid w:val="00354754"/>
    <w:rsid w:val="0035607C"/>
    <w:rsid w:val="00356A51"/>
    <w:rsid w:val="00356FD8"/>
    <w:rsid w:val="00362959"/>
    <w:rsid w:val="0036350D"/>
    <w:rsid w:val="00364C36"/>
    <w:rsid w:val="0036566D"/>
    <w:rsid w:val="0036792E"/>
    <w:rsid w:val="00367F3F"/>
    <w:rsid w:val="003706E9"/>
    <w:rsid w:val="00370939"/>
    <w:rsid w:val="003714CD"/>
    <w:rsid w:val="00371535"/>
    <w:rsid w:val="003745E6"/>
    <w:rsid w:val="003748D9"/>
    <w:rsid w:val="00375286"/>
    <w:rsid w:val="00375F17"/>
    <w:rsid w:val="00376580"/>
    <w:rsid w:val="0038251B"/>
    <w:rsid w:val="0038266C"/>
    <w:rsid w:val="0038398C"/>
    <w:rsid w:val="00383F1F"/>
    <w:rsid w:val="003843DA"/>
    <w:rsid w:val="003846C1"/>
    <w:rsid w:val="00384DEE"/>
    <w:rsid w:val="0038548D"/>
    <w:rsid w:val="003854A8"/>
    <w:rsid w:val="00386CDA"/>
    <w:rsid w:val="00390A24"/>
    <w:rsid w:val="00390BFB"/>
    <w:rsid w:val="0039108C"/>
    <w:rsid w:val="00391C72"/>
    <w:rsid w:val="00391CAB"/>
    <w:rsid w:val="00394E57"/>
    <w:rsid w:val="00396F30"/>
    <w:rsid w:val="00397D91"/>
    <w:rsid w:val="003A00A6"/>
    <w:rsid w:val="003A0DC7"/>
    <w:rsid w:val="003A336B"/>
    <w:rsid w:val="003A383F"/>
    <w:rsid w:val="003A4742"/>
    <w:rsid w:val="003B0311"/>
    <w:rsid w:val="003B45E1"/>
    <w:rsid w:val="003B483A"/>
    <w:rsid w:val="003C2F37"/>
    <w:rsid w:val="003C36BD"/>
    <w:rsid w:val="003C5748"/>
    <w:rsid w:val="003C671E"/>
    <w:rsid w:val="003C7CE8"/>
    <w:rsid w:val="003D07AC"/>
    <w:rsid w:val="003D271F"/>
    <w:rsid w:val="003D329E"/>
    <w:rsid w:val="003D40AF"/>
    <w:rsid w:val="003D680E"/>
    <w:rsid w:val="003D77BA"/>
    <w:rsid w:val="003E0D57"/>
    <w:rsid w:val="003E169C"/>
    <w:rsid w:val="003E2E66"/>
    <w:rsid w:val="003E31E5"/>
    <w:rsid w:val="003E5735"/>
    <w:rsid w:val="003E7736"/>
    <w:rsid w:val="003F2823"/>
    <w:rsid w:val="003F3147"/>
    <w:rsid w:val="003F325B"/>
    <w:rsid w:val="003F5C45"/>
    <w:rsid w:val="003F5FD9"/>
    <w:rsid w:val="003F662D"/>
    <w:rsid w:val="003F6BE5"/>
    <w:rsid w:val="00400065"/>
    <w:rsid w:val="00402C6F"/>
    <w:rsid w:val="00404C3E"/>
    <w:rsid w:val="00406008"/>
    <w:rsid w:val="004070F1"/>
    <w:rsid w:val="00407172"/>
    <w:rsid w:val="00411912"/>
    <w:rsid w:val="004120B7"/>
    <w:rsid w:val="00414FB2"/>
    <w:rsid w:val="004150A9"/>
    <w:rsid w:val="004151AE"/>
    <w:rsid w:val="004170DA"/>
    <w:rsid w:val="00417E40"/>
    <w:rsid w:val="00420D0C"/>
    <w:rsid w:val="00423574"/>
    <w:rsid w:val="00432230"/>
    <w:rsid w:val="0043364A"/>
    <w:rsid w:val="004340BA"/>
    <w:rsid w:val="00434BEC"/>
    <w:rsid w:val="00434E8E"/>
    <w:rsid w:val="00435682"/>
    <w:rsid w:val="00436B3F"/>
    <w:rsid w:val="00441974"/>
    <w:rsid w:val="0044241A"/>
    <w:rsid w:val="0044241D"/>
    <w:rsid w:val="00443389"/>
    <w:rsid w:val="00443795"/>
    <w:rsid w:val="00444895"/>
    <w:rsid w:val="00445DD4"/>
    <w:rsid w:val="00452BBE"/>
    <w:rsid w:val="00452DCD"/>
    <w:rsid w:val="00454652"/>
    <w:rsid w:val="00456B1E"/>
    <w:rsid w:val="00462DDD"/>
    <w:rsid w:val="00463782"/>
    <w:rsid w:val="00464B34"/>
    <w:rsid w:val="0046638E"/>
    <w:rsid w:val="00466DB0"/>
    <w:rsid w:val="00470035"/>
    <w:rsid w:val="0047348F"/>
    <w:rsid w:val="00475615"/>
    <w:rsid w:val="00476276"/>
    <w:rsid w:val="00476F57"/>
    <w:rsid w:val="00477589"/>
    <w:rsid w:val="00480E85"/>
    <w:rsid w:val="00481178"/>
    <w:rsid w:val="00481759"/>
    <w:rsid w:val="0048264C"/>
    <w:rsid w:val="004829E4"/>
    <w:rsid w:val="00485D13"/>
    <w:rsid w:val="0048727B"/>
    <w:rsid w:val="00487D39"/>
    <w:rsid w:val="00490951"/>
    <w:rsid w:val="00492040"/>
    <w:rsid w:val="004942F0"/>
    <w:rsid w:val="00496F52"/>
    <w:rsid w:val="004971D2"/>
    <w:rsid w:val="004A1AA3"/>
    <w:rsid w:val="004A32DE"/>
    <w:rsid w:val="004A5884"/>
    <w:rsid w:val="004A6958"/>
    <w:rsid w:val="004A7255"/>
    <w:rsid w:val="004A7959"/>
    <w:rsid w:val="004B377F"/>
    <w:rsid w:val="004B49EF"/>
    <w:rsid w:val="004B571E"/>
    <w:rsid w:val="004C040F"/>
    <w:rsid w:val="004C210A"/>
    <w:rsid w:val="004C2194"/>
    <w:rsid w:val="004C27B1"/>
    <w:rsid w:val="004C36AF"/>
    <w:rsid w:val="004C3AF8"/>
    <w:rsid w:val="004C5193"/>
    <w:rsid w:val="004C6612"/>
    <w:rsid w:val="004C6AC0"/>
    <w:rsid w:val="004C7345"/>
    <w:rsid w:val="004D0276"/>
    <w:rsid w:val="004D09EF"/>
    <w:rsid w:val="004D0B0B"/>
    <w:rsid w:val="004D4E0E"/>
    <w:rsid w:val="004D706F"/>
    <w:rsid w:val="004E0D5C"/>
    <w:rsid w:val="004E1460"/>
    <w:rsid w:val="004E150A"/>
    <w:rsid w:val="004E1AE1"/>
    <w:rsid w:val="004E27A3"/>
    <w:rsid w:val="004E6561"/>
    <w:rsid w:val="004E699F"/>
    <w:rsid w:val="004E797C"/>
    <w:rsid w:val="004F18C3"/>
    <w:rsid w:val="004F224A"/>
    <w:rsid w:val="004F22B1"/>
    <w:rsid w:val="004F26BA"/>
    <w:rsid w:val="005003EF"/>
    <w:rsid w:val="00500740"/>
    <w:rsid w:val="005007FA"/>
    <w:rsid w:val="00500963"/>
    <w:rsid w:val="0050277A"/>
    <w:rsid w:val="005039E2"/>
    <w:rsid w:val="005047DF"/>
    <w:rsid w:val="005057A7"/>
    <w:rsid w:val="005057AB"/>
    <w:rsid w:val="005070E1"/>
    <w:rsid w:val="0050728F"/>
    <w:rsid w:val="00507E98"/>
    <w:rsid w:val="0051133A"/>
    <w:rsid w:val="005113AB"/>
    <w:rsid w:val="00511D91"/>
    <w:rsid w:val="0051312B"/>
    <w:rsid w:val="00515289"/>
    <w:rsid w:val="00515BE6"/>
    <w:rsid w:val="00516E05"/>
    <w:rsid w:val="005175C6"/>
    <w:rsid w:val="00520EEB"/>
    <w:rsid w:val="0052358D"/>
    <w:rsid w:val="00523E75"/>
    <w:rsid w:val="00527DB8"/>
    <w:rsid w:val="00530CFE"/>
    <w:rsid w:val="005323ED"/>
    <w:rsid w:val="0053277B"/>
    <w:rsid w:val="00533AD8"/>
    <w:rsid w:val="00534DC9"/>
    <w:rsid w:val="005351FA"/>
    <w:rsid w:val="005356F2"/>
    <w:rsid w:val="00541855"/>
    <w:rsid w:val="00541D99"/>
    <w:rsid w:val="00542811"/>
    <w:rsid w:val="00542A41"/>
    <w:rsid w:val="005437D9"/>
    <w:rsid w:val="00543B85"/>
    <w:rsid w:val="00543E82"/>
    <w:rsid w:val="005440F5"/>
    <w:rsid w:val="005462B0"/>
    <w:rsid w:val="0055233F"/>
    <w:rsid w:val="00553814"/>
    <w:rsid w:val="005540A1"/>
    <w:rsid w:val="00554342"/>
    <w:rsid w:val="0055459C"/>
    <w:rsid w:val="005545BE"/>
    <w:rsid w:val="00555676"/>
    <w:rsid w:val="00555D22"/>
    <w:rsid w:val="00556DEF"/>
    <w:rsid w:val="00560D34"/>
    <w:rsid w:val="00561074"/>
    <w:rsid w:val="00563045"/>
    <w:rsid w:val="0056698A"/>
    <w:rsid w:val="00571156"/>
    <w:rsid w:val="0057323E"/>
    <w:rsid w:val="0057524F"/>
    <w:rsid w:val="00581A4C"/>
    <w:rsid w:val="00584E14"/>
    <w:rsid w:val="00586F6A"/>
    <w:rsid w:val="00591087"/>
    <w:rsid w:val="005912E4"/>
    <w:rsid w:val="00595BD0"/>
    <w:rsid w:val="00597D5A"/>
    <w:rsid w:val="005A18FD"/>
    <w:rsid w:val="005A21C3"/>
    <w:rsid w:val="005A56B0"/>
    <w:rsid w:val="005A5BA6"/>
    <w:rsid w:val="005B115A"/>
    <w:rsid w:val="005B138B"/>
    <w:rsid w:val="005B3B43"/>
    <w:rsid w:val="005B4188"/>
    <w:rsid w:val="005B5BB2"/>
    <w:rsid w:val="005B5E0C"/>
    <w:rsid w:val="005B70C4"/>
    <w:rsid w:val="005B7214"/>
    <w:rsid w:val="005C3719"/>
    <w:rsid w:val="005C3D27"/>
    <w:rsid w:val="005C5D57"/>
    <w:rsid w:val="005D10D8"/>
    <w:rsid w:val="005D3C62"/>
    <w:rsid w:val="005D5EB6"/>
    <w:rsid w:val="005D6B6D"/>
    <w:rsid w:val="005D6F73"/>
    <w:rsid w:val="005D7DED"/>
    <w:rsid w:val="005E4374"/>
    <w:rsid w:val="005E5583"/>
    <w:rsid w:val="005E57BA"/>
    <w:rsid w:val="005E5919"/>
    <w:rsid w:val="005E6E27"/>
    <w:rsid w:val="005E7C37"/>
    <w:rsid w:val="005F2388"/>
    <w:rsid w:val="005F2B71"/>
    <w:rsid w:val="005F473C"/>
    <w:rsid w:val="005F63D5"/>
    <w:rsid w:val="0060090B"/>
    <w:rsid w:val="006027DD"/>
    <w:rsid w:val="00604378"/>
    <w:rsid w:val="00606346"/>
    <w:rsid w:val="00607DBD"/>
    <w:rsid w:val="00610802"/>
    <w:rsid w:val="00612C72"/>
    <w:rsid w:val="0061379C"/>
    <w:rsid w:val="00614349"/>
    <w:rsid w:val="00614870"/>
    <w:rsid w:val="00614E9E"/>
    <w:rsid w:val="006161C7"/>
    <w:rsid w:val="0061650D"/>
    <w:rsid w:val="00616F6A"/>
    <w:rsid w:val="00617AC4"/>
    <w:rsid w:val="00623D38"/>
    <w:rsid w:val="00624A16"/>
    <w:rsid w:val="006269B3"/>
    <w:rsid w:val="006314BA"/>
    <w:rsid w:val="00631C48"/>
    <w:rsid w:val="00631EE8"/>
    <w:rsid w:val="006327ED"/>
    <w:rsid w:val="00636E50"/>
    <w:rsid w:val="00641FF8"/>
    <w:rsid w:val="00645AB7"/>
    <w:rsid w:val="00645C38"/>
    <w:rsid w:val="00645EB6"/>
    <w:rsid w:val="00646936"/>
    <w:rsid w:val="00647D51"/>
    <w:rsid w:val="006546EA"/>
    <w:rsid w:val="00664FF6"/>
    <w:rsid w:val="00665200"/>
    <w:rsid w:val="00665E32"/>
    <w:rsid w:val="006669DA"/>
    <w:rsid w:val="006703FE"/>
    <w:rsid w:val="00671143"/>
    <w:rsid w:val="006728AC"/>
    <w:rsid w:val="00673378"/>
    <w:rsid w:val="00673FFA"/>
    <w:rsid w:val="00676E1A"/>
    <w:rsid w:val="006805C2"/>
    <w:rsid w:val="00684F3D"/>
    <w:rsid w:val="00685E20"/>
    <w:rsid w:val="006901E5"/>
    <w:rsid w:val="00690EB2"/>
    <w:rsid w:val="00692284"/>
    <w:rsid w:val="00692ED9"/>
    <w:rsid w:val="006941BD"/>
    <w:rsid w:val="006947D1"/>
    <w:rsid w:val="006973AA"/>
    <w:rsid w:val="006A1739"/>
    <w:rsid w:val="006B2178"/>
    <w:rsid w:val="006B3C9C"/>
    <w:rsid w:val="006B5C0B"/>
    <w:rsid w:val="006B6937"/>
    <w:rsid w:val="006C0DF2"/>
    <w:rsid w:val="006C32E5"/>
    <w:rsid w:val="006C34CF"/>
    <w:rsid w:val="006C4D08"/>
    <w:rsid w:val="006C6216"/>
    <w:rsid w:val="006C7C00"/>
    <w:rsid w:val="006D064E"/>
    <w:rsid w:val="006D1598"/>
    <w:rsid w:val="006D2A23"/>
    <w:rsid w:val="006D5DAE"/>
    <w:rsid w:val="006D7394"/>
    <w:rsid w:val="006D7C17"/>
    <w:rsid w:val="006E35CD"/>
    <w:rsid w:val="006F2722"/>
    <w:rsid w:val="006F66CD"/>
    <w:rsid w:val="006F66EA"/>
    <w:rsid w:val="006F6E14"/>
    <w:rsid w:val="007007FC"/>
    <w:rsid w:val="00701AD9"/>
    <w:rsid w:val="007029C6"/>
    <w:rsid w:val="00702A83"/>
    <w:rsid w:val="0070433F"/>
    <w:rsid w:val="007043A1"/>
    <w:rsid w:val="0070506E"/>
    <w:rsid w:val="00705B46"/>
    <w:rsid w:val="00706E08"/>
    <w:rsid w:val="007103B3"/>
    <w:rsid w:val="00710DE0"/>
    <w:rsid w:val="0071201F"/>
    <w:rsid w:val="007121B2"/>
    <w:rsid w:val="00714143"/>
    <w:rsid w:val="0071431D"/>
    <w:rsid w:val="00715819"/>
    <w:rsid w:val="00716D73"/>
    <w:rsid w:val="007179BB"/>
    <w:rsid w:val="0072225D"/>
    <w:rsid w:val="00722435"/>
    <w:rsid w:val="007240D8"/>
    <w:rsid w:val="007261AB"/>
    <w:rsid w:val="007314A9"/>
    <w:rsid w:val="0073218D"/>
    <w:rsid w:val="007324AA"/>
    <w:rsid w:val="007370CD"/>
    <w:rsid w:val="00740573"/>
    <w:rsid w:val="007437CA"/>
    <w:rsid w:val="00746086"/>
    <w:rsid w:val="00746A5A"/>
    <w:rsid w:val="00750204"/>
    <w:rsid w:val="00753C87"/>
    <w:rsid w:val="00754E1F"/>
    <w:rsid w:val="00756876"/>
    <w:rsid w:val="0075711E"/>
    <w:rsid w:val="0076002E"/>
    <w:rsid w:val="007610D7"/>
    <w:rsid w:val="00761AA4"/>
    <w:rsid w:val="007626E1"/>
    <w:rsid w:val="00762A94"/>
    <w:rsid w:val="00762BEC"/>
    <w:rsid w:val="0076304C"/>
    <w:rsid w:val="007642C7"/>
    <w:rsid w:val="00764CC3"/>
    <w:rsid w:val="00772A25"/>
    <w:rsid w:val="00772E2E"/>
    <w:rsid w:val="00775EF9"/>
    <w:rsid w:val="00781F1F"/>
    <w:rsid w:val="007838EB"/>
    <w:rsid w:val="00785F68"/>
    <w:rsid w:val="007864A2"/>
    <w:rsid w:val="007930A1"/>
    <w:rsid w:val="0079426F"/>
    <w:rsid w:val="00795437"/>
    <w:rsid w:val="007955B8"/>
    <w:rsid w:val="00796A79"/>
    <w:rsid w:val="00796BE2"/>
    <w:rsid w:val="007976FA"/>
    <w:rsid w:val="007A44A1"/>
    <w:rsid w:val="007A5446"/>
    <w:rsid w:val="007A70EC"/>
    <w:rsid w:val="007A74C3"/>
    <w:rsid w:val="007B137C"/>
    <w:rsid w:val="007B4950"/>
    <w:rsid w:val="007B5CF2"/>
    <w:rsid w:val="007B711F"/>
    <w:rsid w:val="007C3CEF"/>
    <w:rsid w:val="007C6379"/>
    <w:rsid w:val="007C7225"/>
    <w:rsid w:val="007D0C1A"/>
    <w:rsid w:val="007D14A4"/>
    <w:rsid w:val="007D2BA3"/>
    <w:rsid w:val="007D30C9"/>
    <w:rsid w:val="007D34D8"/>
    <w:rsid w:val="007D358A"/>
    <w:rsid w:val="007D39A2"/>
    <w:rsid w:val="007E1F9A"/>
    <w:rsid w:val="007E29B7"/>
    <w:rsid w:val="007E3683"/>
    <w:rsid w:val="007E405C"/>
    <w:rsid w:val="007E432C"/>
    <w:rsid w:val="007E60B1"/>
    <w:rsid w:val="007E6ADE"/>
    <w:rsid w:val="007F0AFE"/>
    <w:rsid w:val="007F1BCB"/>
    <w:rsid w:val="007F3A39"/>
    <w:rsid w:val="007F4426"/>
    <w:rsid w:val="007F47FC"/>
    <w:rsid w:val="007F5D38"/>
    <w:rsid w:val="007F680D"/>
    <w:rsid w:val="007F7578"/>
    <w:rsid w:val="007F7962"/>
    <w:rsid w:val="00805494"/>
    <w:rsid w:val="0080730A"/>
    <w:rsid w:val="00811B48"/>
    <w:rsid w:val="00812B14"/>
    <w:rsid w:val="00812B72"/>
    <w:rsid w:val="008132E1"/>
    <w:rsid w:val="00814078"/>
    <w:rsid w:val="00814999"/>
    <w:rsid w:val="00814D7A"/>
    <w:rsid w:val="008155E2"/>
    <w:rsid w:val="008173DD"/>
    <w:rsid w:val="00823578"/>
    <w:rsid w:val="00823C7B"/>
    <w:rsid w:val="008256C9"/>
    <w:rsid w:val="00825CE0"/>
    <w:rsid w:val="00825DBD"/>
    <w:rsid w:val="00826BC3"/>
    <w:rsid w:val="00826CE9"/>
    <w:rsid w:val="00827290"/>
    <w:rsid w:val="00827C61"/>
    <w:rsid w:val="00830233"/>
    <w:rsid w:val="008312FB"/>
    <w:rsid w:val="0083149A"/>
    <w:rsid w:val="008323EC"/>
    <w:rsid w:val="008329AA"/>
    <w:rsid w:val="008342BC"/>
    <w:rsid w:val="00834629"/>
    <w:rsid w:val="0083527C"/>
    <w:rsid w:val="00840BDE"/>
    <w:rsid w:val="00841E1A"/>
    <w:rsid w:val="00843D35"/>
    <w:rsid w:val="00844783"/>
    <w:rsid w:val="008474C1"/>
    <w:rsid w:val="0085298D"/>
    <w:rsid w:val="00852ECD"/>
    <w:rsid w:val="00857118"/>
    <w:rsid w:val="00857419"/>
    <w:rsid w:val="00857A84"/>
    <w:rsid w:val="00860E71"/>
    <w:rsid w:val="00863DB0"/>
    <w:rsid w:val="008649EF"/>
    <w:rsid w:val="0086622F"/>
    <w:rsid w:val="00870665"/>
    <w:rsid w:val="008731B4"/>
    <w:rsid w:val="00873F4F"/>
    <w:rsid w:val="00874E7C"/>
    <w:rsid w:val="00877F91"/>
    <w:rsid w:val="008801A5"/>
    <w:rsid w:val="00880A2F"/>
    <w:rsid w:val="00882E0B"/>
    <w:rsid w:val="0088318A"/>
    <w:rsid w:val="00883DC9"/>
    <w:rsid w:val="00883E24"/>
    <w:rsid w:val="008840C6"/>
    <w:rsid w:val="008855FD"/>
    <w:rsid w:val="00887A95"/>
    <w:rsid w:val="00890A7A"/>
    <w:rsid w:val="0089131D"/>
    <w:rsid w:val="0089154F"/>
    <w:rsid w:val="00891BD8"/>
    <w:rsid w:val="008950BC"/>
    <w:rsid w:val="00895C94"/>
    <w:rsid w:val="0089723F"/>
    <w:rsid w:val="00897364"/>
    <w:rsid w:val="008973CD"/>
    <w:rsid w:val="008973CE"/>
    <w:rsid w:val="008A2E1C"/>
    <w:rsid w:val="008B5F7D"/>
    <w:rsid w:val="008B604D"/>
    <w:rsid w:val="008C0244"/>
    <w:rsid w:val="008C04CC"/>
    <w:rsid w:val="008C0853"/>
    <w:rsid w:val="008C0BCD"/>
    <w:rsid w:val="008C1262"/>
    <w:rsid w:val="008C1C6B"/>
    <w:rsid w:val="008C4785"/>
    <w:rsid w:val="008C6354"/>
    <w:rsid w:val="008C6D4A"/>
    <w:rsid w:val="008C7393"/>
    <w:rsid w:val="008C7C39"/>
    <w:rsid w:val="008D18B1"/>
    <w:rsid w:val="008D36CB"/>
    <w:rsid w:val="008D3B87"/>
    <w:rsid w:val="008D3DFF"/>
    <w:rsid w:val="008D4A86"/>
    <w:rsid w:val="008E0184"/>
    <w:rsid w:val="008E08E2"/>
    <w:rsid w:val="008E0D26"/>
    <w:rsid w:val="008E1FEE"/>
    <w:rsid w:val="008E2257"/>
    <w:rsid w:val="008E22B3"/>
    <w:rsid w:val="008E2F3D"/>
    <w:rsid w:val="008E3C51"/>
    <w:rsid w:val="008E3ED7"/>
    <w:rsid w:val="008E3F16"/>
    <w:rsid w:val="008E44B5"/>
    <w:rsid w:val="008E4DD4"/>
    <w:rsid w:val="008E7B45"/>
    <w:rsid w:val="008F11B6"/>
    <w:rsid w:val="008F1792"/>
    <w:rsid w:val="008F192B"/>
    <w:rsid w:val="008F2E06"/>
    <w:rsid w:val="008F460C"/>
    <w:rsid w:val="00901DA8"/>
    <w:rsid w:val="00902C4D"/>
    <w:rsid w:val="0090511E"/>
    <w:rsid w:val="00913D17"/>
    <w:rsid w:val="00914F7A"/>
    <w:rsid w:val="00915B7B"/>
    <w:rsid w:val="00920516"/>
    <w:rsid w:val="00920D64"/>
    <w:rsid w:val="009214C8"/>
    <w:rsid w:val="00921F03"/>
    <w:rsid w:val="00923AB5"/>
    <w:rsid w:val="00925E16"/>
    <w:rsid w:val="00926624"/>
    <w:rsid w:val="009267AA"/>
    <w:rsid w:val="009275C7"/>
    <w:rsid w:val="009315D0"/>
    <w:rsid w:val="009315D7"/>
    <w:rsid w:val="00933007"/>
    <w:rsid w:val="009337E9"/>
    <w:rsid w:val="00941E75"/>
    <w:rsid w:val="009447BB"/>
    <w:rsid w:val="009460DC"/>
    <w:rsid w:val="009463AB"/>
    <w:rsid w:val="009510E6"/>
    <w:rsid w:val="00951268"/>
    <w:rsid w:val="009536C1"/>
    <w:rsid w:val="00953B1E"/>
    <w:rsid w:val="0095502D"/>
    <w:rsid w:val="00955E6C"/>
    <w:rsid w:val="0095630C"/>
    <w:rsid w:val="00956F2C"/>
    <w:rsid w:val="0096136D"/>
    <w:rsid w:val="00961435"/>
    <w:rsid w:val="0096180A"/>
    <w:rsid w:val="00964C57"/>
    <w:rsid w:val="00970B5C"/>
    <w:rsid w:val="009714C6"/>
    <w:rsid w:val="00972CB7"/>
    <w:rsid w:val="00972DC3"/>
    <w:rsid w:val="0097336A"/>
    <w:rsid w:val="00977963"/>
    <w:rsid w:val="00987746"/>
    <w:rsid w:val="00991B18"/>
    <w:rsid w:val="00992076"/>
    <w:rsid w:val="009921AE"/>
    <w:rsid w:val="0099404F"/>
    <w:rsid w:val="0099446F"/>
    <w:rsid w:val="009947C4"/>
    <w:rsid w:val="0099541E"/>
    <w:rsid w:val="0099607A"/>
    <w:rsid w:val="0099789A"/>
    <w:rsid w:val="00997CAD"/>
    <w:rsid w:val="009A1AE6"/>
    <w:rsid w:val="009A1F38"/>
    <w:rsid w:val="009A2BEF"/>
    <w:rsid w:val="009A39BC"/>
    <w:rsid w:val="009A4101"/>
    <w:rsid w:val="009A518F"/>
    <w:rsid w:val="009A7B6F"/>
    <w:rsid w:val="009B09F4"/>
    <w:rsid w:val="009B0AD4"/>
    <w:rsid w:val="009B364E"/>
    <w:rsid w:val="009B429D"/>
    <w:rsid w:val="009B6A6D"/>
    <w:rsid w:val="009C193E"/>
    <w:rsid w:val="009C25E6"/>
    <w:rsid w:val="009D1648"/>
    <w:rsid w:val="009D25AA"/>
    <w:rsid w:val="009D2BA4"/>
    <w:rsid w:val="009D48B1"/>
    <w:rsid w:val="009D4DCC"/>
    <w:rsid w:val="009D56EA"/>
    <w:rsid w:val="009D6BBC"/>
    <w:rsid w:val="009E1DA8"/>
    <w:rsid w:val="009E2337"/>
    <w:rsid w:val="009E299B"/>
    <w:rsid w:val="009E4DAD"/>
    <w:rsid w:val="009E4F07"/>
    <w:rsid w:val="009E6780"/>
    <w:rsid w:val="009F073C"/>
    <w:rsid w:val="009F1949"/>
    <w:rsid w:val="009F19C1"/>
    <w:rsid w:val="009F1A07"/>
    <w:rsid w:val="009F1D98"/>
    <w:rsid w:val="009F2EC9"/>
    <w:rsid w:val="009F34CF"/>
    <w:rsid w:val="009F4465"/>
    <w:rsid w:val="009F48FB"/>
    <w:rsid w:val="009F497B"/>
    <w:rsid w:val="009F720E"/>
    <w:rsid w:val="009F7269"/>
    <w:rsid w:val="009F7356"/>
    <w:rsid w:val="00A044BB"/>
    <w:rsid w:val="00A04945"/>
    <w:rsid w:val="00A04AD4"/>
    <w:rsid w:val="00A053D2"/>
    <w:rsid w:val="00A0672E"/>
    <w:rsid w:val="00A112D8"/>
    <w:rsid w:val="00A162A6"/>
    <w:rsid w:val="00A170E7"/>
    <w:rsid w:val="00A17E7E"/>
    <w:rsid w:val="00A21C61"/>
    <w:rsid w:val="00A31DB0"/>
    <w:rsid w:val="00A3683C"/>
    <w:rsid w:val="00A37CC1"/>
    <w:rsid w:val="00A418D7"/>
    <w:rsid w:val="00A42BEF"/>
    <w:rsid w:val="00A43A77"/>
    <w:rsid w:val="00A43AC4"/>
    <w:rsid w:val="00A4411E"/>
    <w:rsid w:val="00A44CA1"/>
    <w:rsid w:val="00A45251"/>
    <w:rsid w:val="00A52864"/>
    <w:rsid w:val="00A529A2"/>
    <w:rsid w:val="00A57509"/>
    <w:rsid w:val="00A63B53"/>
    <w:rsid w:val="00A659EB"/>
    <w:rsid w:val="00A665CD"/>
    <w:rsid w:val="00A66DCA"/>
    <w:rsid w:val="00A73DEF"/>
    <w:rsid w:val="00A7416A"/>
    <w:rsid w:val="00A7454C"/>
    <w:rsid w:val="00A75130"/>
    <w:rsid w:val="00A768C0"/>
    <w:rsid w:val="00A778C4"/>
    <w:rsid w:val="00A80284"/>
    <w:rsid w:val="00A846C1"/>
    <w:rsid w:val="00A8680A"/>
    <w:rsid w:val="00A9327E"/>
    <w:rsid w:val="00A9630E"/>
    <w:rsid w:val="00A97752"/>
    <w:rsid w:val="00AA004D"/>
    <w:rsid w:val="00AA6D6C"/>
    <w:rsid w:val="00AA6EFA"/>
    <w:rsid w:val="00AB0D22"/>
    <w:rsid w:val="00AB0D49"/>
    <w:rsid w:val="00AB1406"/>
    <w:rsid w:val="00AB2D9C"/>
    <w:rsid w:val="00AB4D78"/>
    <w:rsid w:val="00AB71A3"/>
    <w:rsid w:val="00AB7AFA"/>
    <w:rsid w:val="00AC185F"/>
    <w:rsid w:val="00AC4065"/>
    <w:rsid w:val="00AC510B"/>
    <w:rsid w:val="00AC54EC"/>
    <w:rsid w:val="00AC6A11"/>
    <w:rsid w:val="00AD0F6A"/>
    <w:rsid w:val="00AD12AD"/>
    <w:rsid w:val="00AD3039"/>
    <w:rsid w:val="00AD37D7"/>
    <w:rsid w:val="00AD56FD"/>
    <w:rsid w:val="00AE0E41"/>
    <w:rsid w:val="00AE20AF"/>
    <w:rsid w:val="00AE4B90"/>
    <w:rsid w:val="00AE54A4"/>
    <w:rsid w:val="00AE73E4"/>
    <w:rsid w:val="00AF0289"/>
    <w:rsid w:val="00AF043E"/>
    <w:rsid w:val="00AF1AF3"/>
    <w:rsid w:val="00AF1D3A"/>
    <w:rsid w:val="00AF3670"/>
    <w:rsid w:val="00AF3A41"/>
    <w:rsid w:val="00AF4AE3"/>
    <w:rsid w:val="00AF7A3E"/>
    <w:rsid w:val="00B005B6"/>
    <w:rsid w:val="00B00C03"/>
    <w:rsid w:val="00B03FB6"/>
    <w:rsid w:val="00B04717"/>
    <w:rsid w:val="00B06914"/>
    <w:rsid w:val="00B069C9"/>
    <w:rsid w:val="00B10DFB"/>
    <w:rsid w:val="00B12A3A"/>
    <w:rsid w:val="00B12C52"/>
    <w:rsid w:val="00B13AE6"/>
    <w:rsid w:val="00B14AEA"/>
    <w:rsid w:val="00B14F39"/>
    <w:rsid w:val="00B16142"/>
    <w:rsid w:val="00B2393D"/>
    <w:rsid w:val="00B2525D"/>
    <w:rsid w:val="00B2597C"/>
    <w:rsid w:val="00B25E5B"/>
    <w:rsid w:val="00B26B3C"/>
    <w:rsid w:val="00B27931"/>
    <w:rsid w:val="00B27D35"/>
    <w:rsid w:val="00B31E70"/>
    <w:rsid w:val="00B32C58"/>
    <w:rsid w:val="00B33BEE"/>
    <w:rsid w:val="00B35EE8"/>
    <w:rsid w:val="00B36993"/>
    <w:rsid w:val="00B37DD2"/>
    <w:rsid w:val="00B40265"/>
    <w:rsid w:val="00B41D57"/>
    <w:rsid w:val="00B438F5"/>
    <w:rsid w:val="00B4657A"/>
    <w:rsid w:val="00B46AC3"/>
    <w:rsid w:val="00B4785E"/>
    <w:rsid w:val="00B532C0"/>
    <w:rsid w:val="00B559DE"/>
    <w:rsid w:val="00B57249"/>
    <w:rsid w:val="00B61312"/>
    <w:rsid w:val="00B62DF0"/>
    <w:rsid w:val="00B65273"/>
    <w:rsid w:val="00B658E1"/>
    <w:rsid w:val="00B709A6"/>
    <w:rsid w:val="00B711C4"/>
    <w:rsid w:val="00B713C1"/>
    <w:rsid w:val="00B7239D"/>
    <w:rsid w:val="00B74A51"/>
    <w:rsid w:val="00B74F92"/>
    <w:rsid w:val="00B7536A"/>
    <w:rsid w:val="00B77985"/>
    <w:rsid w:val="00B81340"/>
    <w:rsid w:val="00B818F0"/>
    <w:rsid w:val="00B82217"/>
    <w:rsid w:val="00B8224B"/>
    <w:rsid w:val="00B82A35"/>
    <w:rsid w:val="00B82D5C"/>
    <w:rsid w:val="00B82F2F"/>
    <w:rsid w:val="00B851B5"/>
    <w:rsid w:val="00B85D6A"/>
    <w:rsid w:val="00B86C9C"/>
    <w:rsid w:val="00B900E5"/>
    <w:rsid w:val="00B925CA"/>
    <w:rsid w:val="00B93039"/>
    <w:rsid w:val="00B94152"/>
    <w:rsid w:val="00BA189E"/>
    <w:rsid w:val="00BA1C54"/>
    <w:rsid w:val="00BA29E9"/>
    <w:rsid w:val="00BA5D34"/>
    <w:rsid w:val="00BA6BB4"/>
    <w:rsid w:val="00BA7ECA"/>
    <w:rsid w:val="00BC006F"/>
    <w:rsid w:val="00BC5FE3"/>
    <w:rsid w:val="00BD0CFD"/>
    <w:rsid w:val="00BD1561"/>
    <w:rsid w:val="00BD304E"/>
    <w:rsid w:val="00BD3552"/>
    <w:rsid w:val="00BD4716"/>
    <w:rsid w:val="00BD5386"/>
    <w:rsid w:val="00BD54F1"/>
    <w:rsid w:val="00BD5C76"/>
    <w:rsid w:val="00BD798F"/>
    <w:rsid w:val="00BE0A26"/>
    <w:rsid w:val="00BE2459"/>
    <w:rsid w:val="00BE4BAD"/>
    <w:rsid w:val="00BE5239"/>
    <w:rsid w:val="00BE5C05"/>
    <w:rsid w:val="00BE5CFA"/>
    <w:rsid w:val="00BF0155"/>
    <w:rsid w:val="00BF08A1"/>
    <w:rsid w:val="00BF1199"/>
    <w:rsid w:val="00BF19BA"/>
    <w:rsid w:val="00BF2176"/>
    <w:rsid w:val="00BF2B99"/>
    <w:rsid w:val="00BF35DA"/>
    <w:rsid w:val="00BF3BD7"/>
    <w:rsid w:val="00BF5C93"/>
    <w:rsid w:val="00BF7F94"/>
    <w:rsid w:val="00C0007E"/>
    <w:rsid w:val="00C01348"/>
    <w:rsid w:val="00C03651"/>
    <w:rsid w:val="00C05D37"/>
    <w:rsid w:val="00C1145E"/>
    <w:rsid w:val="00C119BC"/>
    <w:rsid w:val="00C15CF8"/>
    <w:rsid w:val="00C1667A"/>
    <w:rsid w:val="00C16B94"/>
    <w:rsid w:val="00C16D49"/>
    <w:rsid w:val="00C22A9A"/>
    <w:rsid w:val="00C24ED2"/>
    <w:rsid w:val="00C25D25"/>
    <w:rsid w:val="00C27AEC"/>
    <w:rsid w:val="00C30CBF"/>
    <w:rsid w:val="00C3155D"/>
    <w:rsid w:val="00C32D74"/>
    <w:rsid w:val="00C3372C"/>
    <w:rsid w:val="00C33F1C"/>
    <w:rsid w:val="00C34154"/>
    <w:rsid w:val="00C345B0"/>
    <w:rsid w:val="00C3645C"/>
    <w:rsid w:val="00C36728"/>
    <w:rsid w:val="00C367FE"/>
    <w:rsid w:val="00C41854"/>
    <w:rsid w:val="00C41E54"/>
    <w:rsid w:val="00C43486"/>
    <w:rsid w:val="00C43521"/>
    <w:rsid w:val="00C43EF3"/>
    <w:rsid w:val="00C454DB"/>
    <w:rsid w:val="00C460B3"/>
    <w:rsid w:val="00C46C00"/>
    <w:rsid w:val="00C510DA"/>
    <w:rsid w:val="00C51253"/>
    <w:rsid w:val="00C53614"/>
    <w:rsid w:val="00C54DCA"/>
    <w:rsid w:val="00C63C8A"/>
    <w:rsid w:val="00C648DB"/>
    <w:rsid w:val="00C64B83"/>
    <w:rsid w:val="00C6538A"/>
    <w:rsid w:val="00C65631"/>
    <w:rsid w:val="00C70E32"/>
    <w:rsid w:val="00C73C43"/>
    <w:rsid w:val="00C74C2B"/>
    <w:rsid w:val="00C771BF"/>
    <w:rsid w:val="00C82626"/>
    <w:rsid w:val="00C831D4"/>
    <w:rsid w:val="00C85326"/>
    <w:rsid w:val="00C8599D"/>
    <w:rsid w:val="00C861BB"/>
    <w:rsid w:val="00C86F82"/>
    <w:rsid w:val="00C87F35"/>
    <w:rsid w:val="00C91701"/>
    <w:rsid w:val="00C932E1"/>
    <w:rsid w:val="00C95AAA"/>
    <w:rsid w:val="00C96C6B"/>
    <w:rsid w:val="00C979C0"/>
    <w:rsid w:val="00CA00EB"/>
    <w:rsid w:val="00CA2543"/>
    <w:rsid w:val="00CA490A"/>
    <w:rsid w:val="00CA5976"/>
    <w:rsid w:val="00CA5C4B"/>
    <w:rsid w:val="00CA69F9"/>
    <w:rsid w:val="00CA78CB"/>
    <w:rsid w:val="00CB03A8"/>
    <w:rsid w:val="00CB11CB"/>
    <w:rsid w:val="00CB3A66"/>
    <w:rsid w:val="00CB4DEB"/>
    <w:rsid w:val="00CB4EA5"/>
    <w:rsid w:val="00CB6311"/>
    <w:rsid w:val="00CC1339"/>
    <w:rsid w:val="00CC20EC"/>
    <w:rsid w:val="00CC28BA"/>
    <w:rsid w:val="00CC4343"/>
    <w:rsid w:val="00CC599A"/>
    <w:rsid w:val="00CC5A2D"/>
    <w:rsid w:val="00CD1BD2"/>
    <w:rsid w:val="00CD2291"/>
    <w:rsid w:val="00CD2474"/>
    <w:rsid w:val="00CD2ED9"/>
    <w:rsid w:val="00CD31C6"/>
    <w:rsid w:val="00CD3466"/>
    <w:rsid w:val="00CD4190"/>
    <w:rsid w:val="00CD4614"/>
    <w:rsid w:val="00CD5A10"/>
    <w:rsid w:val="00CD74DF"/>
    <w:rsid w:val="00CE00CC"/>
    <w:rsid w:val="00CE5184"/>
    <w:rsid w:val="00CE521A"/>
    <w:rsid w:val="00CE7000"/>
    <w:rsid w:val="00CE7633"/>
    <w:rsid w:val="00CE7C76"/>
    <w:rsid w:val="00CF41D4"/>
    <w:rsid w:val="00CF5E65"/>
    <w:rsid w:val="00D01268"/>
    <w:rsid w:val="00D01449"/>
    <w:rsid w:val="00D01C0D"/>
    <w:rsid w:val="00D02646"/>
    <w:rsid w:val="00D0270C"/>
    <w:rsid w:val="00D0407D"/>
    <w:rsid w:val="00D07DF1"/>
    <w:rsid w:val="00D103D0"/>
    <w:rsid w:val="00D118C0"/>
    <w:rsid w:val="00D1293A"/>
    <w:rsid w:val="00D140B8"/>
    <w:rsid w:val="00D156FC"/>
    <w:rsid w:val="00D158C0"/>
    <w:rsid w:val="00D163A8"/>
    <w:rsid w:val="00D179A0"/>
    <w:rsid w:val="00D218B2"/>
    <w:rsid w:val="00D2224F"/>
    <w:rsid w:val="00D22396"/>
    <w:rsid w:val="00D225E1"/>
    <w:rsid w:val="00D2453F"/>
    <w:rsid w:val="00D276E8"/>
    <w:rsid w:val="00D27E55"/>
    <w:rsid w:val="00D27FE8"/>
    <w:rsid w:val="00D349BC"/>
    <w:rsid w:val="00D34EEA"/>
    <w:rsid w:val="00D355F2"/>
    <w:rsid w:val="00D36D0E"/>
    <w:rsid w:val="00D37068"/>
    <w:rsid w:val="00D43301"/>
    <w:rsid w:val="00D4572C"/>
    <w:rsid w:val="00D46F3A"/>
    <w:rsid w:val="00D517BA"/>
    <w:rsid w:val="00D53265"/>
    <w:rsid w:val="00D5338C"/>
    <w:rsid w:val="00D53C8B"/>
    <w:rsid w:val="00D572F2"/>
    <w:rsid w:val="00D6131C"/>
    <w:rsid w:val="00D62DA2"/>
    <w:rsid w:val="00D64C00"/>
    <w:rsid w:val="00D657C7"/>
    <w:rsid w:val="00D65B8E"/>
    <w:rsid w:val="00D65FF9"/>
    <w:rsid w:val="00D66169"/>
    <w:rsid w:val="00D6622A"/>
    <w:rsid w:val="00D705A6"/>
    <w:rsid w:val="00D71E4A"/>
    <w:rsid w:val="00D777D5"/>
    <w:rsid w:val="00D81364"/>
    <w:rsid w:val="00D839FA"/>
    <w:rsid w:val="00D879B2"/>
    <w:rsid w:val="00D938AE"/>
    <w:rsid w:val="00D93D40"/>
    <w:rsid w:val="00D95ABB"/>
    <w:rsid w:val="00DA208E"/>
    <w:rsid w:val="00DA2842"/>
    <w:rsid w:val="00DA2CCC"/>
    <w:rsid w:val="00DA6C62"/>
    <w:rsid w:val="00DA7270"/>
    <w:rsid w:val="00DB04A4"/>
    <w:rsid w:val="00DB22BE"/>
    <w:rsid w:val="00DB31DA"/>
    <w:rsid w:val="00DB3D65"/>
    <w:rsid w:val="00DB47E8"/>
    <w:rsid w:val="00DB5B07"/>
    <w:rsid w:val="00DB5CBE"/>
    <w:rsid w:val="00DB5CD8"/>
    <w:rsid w:val="00DC216C"/>
    <w:rsid w:val="00DC39D4"/>
    <w:rsid w:val="00DC3F6F"/>
    <w:rsid w:val="00DC776C"/>
    <w:rsid w:val="00DD0E33"/>
    <w:rsid w:val="00DD1B98"/>
    <w:rsid w:val="00DD1F5F"/>
    <w:rsid w:val="00DD38CC"/>
    <w:rsid w:val="00DD4296"/>
    <w:rsid w:val="00DD5AA5"/>
    <w:rsid w:val="00DE0CE1"/>
    <w:rsid w:val="00DE15D9"/>
    <w:rsid w:val="00DE2094"/>
    <w:rsid w:val="00DE2A3A"/>
    <w:rsid w:val="00DE4BAD"/>
    <w:rsid w:val="00DF24E4"/>
    <w:rsid w:val="00DF6099"/>
    <w:rsid w:val="00DF6B40"/>
    <w:rsid w:val="00E001F1"/>
    <w:rsid w:val="00E0123A"/>
    <w:rsid w:val="00E01E0D"/>
    <w:rsid w:val="00E04D9F"/>
    <w:rsid w:val="00E06179"/>
    <w:rsid w:val="00E07F77"/>
    <w:rsid w:val="00E10231"/>
    <w:rsid w:val="00E11E60"/>
    <w:rsid w:val="00E14413"/>
    <w:rsid w:val="00E1525F"/>
    <w:rsid w:val="00E1701B"/>
    <w:rsid w:val="00E20BA1"/>
    <w:rsid w:val="00E22D82"/>
    <w:rsid w:val="00E24AB4"/>
    <w:rsid w:val="00E2539E"/>
    <w:rsid w:val="00E27F24"/>
    <w:rsid w:val="00E328E2"/>
    <w:rsid w:val="00E32E7F"/>
    <w:rsid w:val="00E35C84"/>
    <w:rsid w:val="00E35CB9"/>
    <w:rsid w:val="00E369DF"/>
    <w:rsid w:val="00E374FC"/>
    <w:rsid w:val="00E37922"/>
    <w:rsid w:val="00E419E1"/>
    <w:rsid w:val="00E427FB"/>
    <w:rsid w:val="00E42D21"/>
    <w:rsid w:val="00E466C7"/>
    <w:rsid w:val="00E468F4"/>
    <w:rsid w:val="00E51183"/>
    <w:rsid w:val="00E54284"/>
    <w:rsid w:val="00E5504A"/>
    <w:rsid w:val="00E60750"/>
    <w:rsid w:val="00E60C2F"/>
    <w:rsid w:val="00E63AC1"/>
    <w:rsid w:val="00E6493F"/>
    <w:rsid w:val="00E656F0"/>
    <w:rsid w:val="00E66655"/>
    <w:rsid w:val="00E67E78"/>
    <w:rsid w:val="00E7112D"/>
    <w:rsid w:val="00E72026"/>
    <w:rsid w:val="00E72073"/>
    <w:rsid w:val="00E7247B"/>
    <w:rsid w:val="00E73E9E"/>
    <w:rsid w:val="00E74F04"/>
    <w:rsid w:val="00E77364"/>
    <w:rsid w:val="00E82076"/>
    <w:rsid w:val="00E83A99"/>
    <w:rsid w:val="00E847A4"/>
    <w:rsid w:val="00E858AE"/>
    <w:rsid w:val="00E861C2"/>
    <w:rsid w:val="00E90CF9"/>
    <w:rsid w:val="00E94705"/>
    <w:rsid w:val="00E95C6A"/>
    <w:rsid w:val="00EA07CA"/>
    <w:rsid w:val="00EA0D5E"/>
    <w:rsid w:val="00EA19E0"/>
    <w:rsid w:val="00EA3DD6"/>
    <w:rsid w:val="00EA49F5"/>
    <w:rsid w:val="00EA662B"/>
    <w:rsid w:val="00EA7023"/>
    <w:rsid w:val="00EB4D1F"/>
    <w:rsid w:val="00EB4DAD"/>
    <w:rsid w:val="00EB5783"/>
    <w:rsid w:val="00EB618B"/>
    <w:rsid w:val="00EB7363"/>
    <w:rsid w:val="00EC03D1"/>
    <w:rsid w:val="00EC0ED8"/>
    <w:rsid w:val="00EC17E9"/>
    <w:rsid w:val="00EC4E37"/>
    <w:rsid w:val="00EC53A3"/>
    <w:rsid w:val="00EC5837"/>
    <w:rsid w:val="00EC5A5E"/>
    <w:rsid w:val="00EC6745"/>
    <w:rsid w:val="00EC74A0"/>
    <w:rsid w:val="00ED0249"/>
    <w:rsid w:val="00ED1C2C"/>
    <w:rsid w:val="00ED7237"/>
    <w:rsid w:val="00EE145B"/>
    <w:rsid w:val="00EE5964"/>
    <w:rsid w:val="00EE6C56"/>
    <w:rsid w:val="00EE6EAB"/>
    <w:rsid w:val="00EF5DF7"/>
    <w:rsid w:val="00EF64CF"/>
    <w:rsid w:val="00EF6513"/>
    <w:rsid w:val="00EF69B7"/>
    <w:rsid w:val="00F00DEF"/>
    <w:rsid w:val="00F02E80"/>
    <w:rsid w:val="00F042DB"/>
    <w:rsid w:val="00F04439"/>
    <w:rsid w:val="00F04534"/>
    <w:rsid w:val="00F04571"/>
    <w:rsid w:val="00F04659"/>
    <w:rsid w:val="00F04D06"/>
    <w:rsid w:val="00F056F8"/>
    <w:rsid w:val="00F104FD"/>
    <w:rsid w:val="00F10A9D"/>
    <w:rsid w:val="00F11D07"/>
    <w:rsid w:val="00F14465"/>
    <w:rsid w:val="00F159DD"/>
    <w:rsid w:val="00F17C2A"/>
    <w:rsid w:val="00F2142A"/>
    <w:rsid w:val="00F2352B"/>
    <w:rsid w:val="00F23828"/>
    <w:rsid w:val="00F24802"/>
    <w:rsid w:val="00F24C97"/>
    <w:rsid w:val="00F256D1"/>
    <w:rsid w:val="00F2626C"/>
    <w:rsid w:val="00F26AE5"/>
    <w:rsid w:val="00F26E13"/>
    <w:rsid w:val="00F27DDB"/>
    <w:rsid w:val="00F30CB6"/>
    <w:rsid w:val="00F32D8C"/>
    <w:rsid w:val="00F33A94"/>
    <w:rsid w:val="00F359A3"/>
    <w:rsid w:val="00F366D2"/>
    <w:rsid w:val="00F37974"/>
    <w:rsid w:val="00F40852"/>
    <w:rsid w:val="00F46157"/>
    <w:rsid w:val="00F47206"/>
    <w:rsid w:val="00F523F2"/>
    <w:rsid w:val="00F527B0"/>
    <w:rsid w:val="00F5355B"/>
    <w:rsid w:val="00F557FD"/>
    <w:rsid w:val="00F57229"/>
    <w:rsid w:val="00F601A4"/>
    <w:rsid w:val="00F60C09"/>
    <w:rsid w:val="00F60E5C"/>
    <w:rsid w:val="00F6150F"/>
    <w:rsid w:val="00F626E0"/>
    <w:rsid w:val="00F635B9"/>
    <w:rsid w:val="00F63C71"/>
    <w:rsid w:val="00F64E1F"/>
    <w:rsid w:val="00F65287"/>
    <w:rsid w:val="00F65D83"/>
    <w:rsid w:val="00F70D0D"/>
    <w:rsid w:val="00F70DC1"/>
    <w:rsid w:val="00F71B56"/>
    <w:rsid w:val="00F72741"/>
    <w:rsid w:val="00F733A0"/>
    <w:rsid w:val="00F739BE"/>
    <w:rsid w:val="00F75B8C"/>
    <w:rsid w:val="00F76E04"/>
    <w:rsid w:val="00F833A7"/>
    <w:rsid w:val="00F84D94"/>
    <w:rsid w:val="00F86123"/>
    <w:rsid w:val="00F86166"/>
    <w:rsid w:val="00F9091F"/>
    <w:rsid w:val="00F92865"/>
    <w:rsid w:val="00F94621"/>
    <w:rsid w:val="00F97D57"/>
    <w:rsid w:val="00FA10D3"/>
    <w:rsid w:val="00FA1477"/>
    <w:rsid w:val="00FA4522"/>
    <w:rsid w:val="00FA5702"/>
    <w:rsid w:val="00FA59FD"/>
    <w:rsid w:val="00FA6A14"/>
    <w:rsid w:val="00FB11DD"/>
    <w:rsid w:val="00FB1E72"/>
    <w:rsid w:val="00FB1F5B"/>
    <w:rsid w:val="00FB2789"/>
    <w:rsid w:val="00FB2DAF"/>
    <w:rsid w:val="00FC32E6"/>
    <w:rsid w:val="00FC348F"/>
    <w:rsid w:val="00FC4861"/>
    <w:rsid w:val="00FC4C20"/>
    <w:rsid w:val="00FC7B44"/>
    <w:rsid w:val="00FD1264"/>
    <w:rsid w:val="00FD196C"/>
    <w:rsid w:val="00FD5D7B"/>
    <w:rsid w:val="00FD71C7"/>
    <w:rsid w:val="00FD7383"/>
    <w:rsid w:val="00FD755E"/>
    <w:rsid w:val="00FE054A"/>
    <w:rsid w:val="00FE124B"/>
    <w:rsid w:val="00FE1700"/>
    <w:rsid w:val="00FE1CC2"/>
    <w:rsid w:val="00FE2B54"/>
    <w:rsid w:val="00FE3E87"/>
    <w:rsid w:val="00FE4B7C"/>
    <w:rsid w:val="00FE4F8A"/>
    <w:rsid w:val="00FE5F7C"/>
    <w:rsid w:val="00FE6DB0"/>
    <w:rsid w:val="00FF5616"/>
    <w:rsid w:val="00FF61C0"/>
    <w:rsid w:val="11BDA3B7"/>
    <w:rsid w:val="2EC99CFA"/>
    <w:rsid w:val="4F089848"/>
    <w:rsid w:val="6B90207F"/>
  </w:rsids>
  <w:docVars>
    <w:docVar w:name="AP Job Title" w:val="Associate Controller, Yale School of Medicine, Deputy Dean Finance &amp; Administration"/>
    <w:docVar w:name="AP_Job_Title" w:val="Associate Controller, Yale School of Medicine, Deputy Dean Finance &amp; Administration"/>
    <w:docVar w:name="Content Effective Date" w:val="Not Set"/>
    <w:docVar w:name="CorpImageID_0" w:val="2_2%7c1%7c0%7c2%7c2%7c"/>
    <w:docVar w:name="Date Approved" w:val="10/01/2025"/>
    <w:docVar w:name="Date_Approved" w:val="10/01/2025"/>
    <w:docVar w:name="Document Title" w:val="Research Studies with Billable Clinical Services - Policy"/>
    <w:docVar w:name="Document_Title" w:val="Research Studies with Billable Clinical Services - Policy"/>
    <w:docVar w:name="Last Periodic Review Date" w:val="Last Periodic Review Date"/>
    <w:docVar w:name="Link URL" w:val="https://yale.navexone.com/content/"/>
    <w:docVar w:name="Link_URL" w:val="https://yale.navexone.com/content/"/>
    <w:docVar w:name="Original Creation Date" w:val="01/27/2025"/>
    <w:docVar w:name="Original_Creation_Date" w:val="01/27/2025"/>
    <w:docVar w:name="PO Both" w:val="PO Both"/>
    <w:docVar w:name="PO Full Name" w:val="Kelsey Schieren"/>
    <w:docVar w:name="PO_Full_Name" w:val="Kelsey Schieren"/>
    <w:docVar w:name="WR Both" w:val="David Coleman, Jess Caponigro (Associate Controller, Yale School of Medicine)"/>
    <w:docVar w:name="WR Department" w:val="MEDCCI Yale Center for Clinical Investigation (YCCI), MEDFIN Finance and Administration"/>
    <w:docVar w:name="WR_Both" w:val="David Coleman, Jess Caponigro (Associate Controller, Yale School of Medicine)"/>
    <w:docVar w:name="WR_Department" w:val="MEDCCI Yale Center for Clinical Investigation (YCCI), MEDFIN Finance and Administration"/>
    <w:docVar w:name="__Grammarly_42___1" w:val="H4sIAAAAAAAEAKtWcslP9kxRslIyNDY2NDcyMjYytzSxNDQwMzRT0lEKTi0uzszPAykwsagFAMxEiKctAAAA"/>
    <w:docVar w:name="__Grammarly_42____i" w:val="H4sIAAAAAAAEAKtWckksSQxILCpxzi/NK1GyMqwFAAEhoTITAAAA"/>
  </w:docVar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ACE4FD2"/>
  <w15:docId w15:val="{0BEDCC97-1B3E-435B-BED2-F3947DC7B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AA6EFA"/>
    <w:pPr>
      <w:spacing w:before="240" w:after="240"/>
      <w:contextualSpacing/>
    </w:pPr>
    <w:rPr>
      <w:rFonts w:ascii="Arial" w:hAnsi="Arial"/>
    </w:rPr>
  </w:style>
  <w:style w:type="paragraph" w:styleId="Heading1">
    <w:name w:val="heading 1"/>
    <w:basedOn w:val="Normal"/>
    <w:next w:val="BodyText"/>
    <w:link w:val="Heading1Char"/>
    <w:rsid w:val="00E6493F"/>
    <w:pPr>
      <w:keepNext/>
      <w:pBdr>
        <w:top w:val="single" w:sz="4" w:space="1" w:color="auto"/>
      </w:pBdr>
      <w:spacing w:after="120"/>
      <w:outlineLvl w:val="0"/>
    </w:pPr>
    <w:rPr>
      <w:b/>
      <w:sz w:val="24"/>
    </w:rPr>
  </w:style>
  <w:style w:type="paragraph" w:styleId="Heading2">
    <w:name w:val="heading 2"/>
    <w:basedOn w:val="Normal"/>
    <w:next w:val="PolicySectionText"/>
    <w:rsid w:val="0048727B"/>
    <w:pPr>
      <w:keepNext/>
      <w:pBdr>
        <w:top w:val="single" w:sz="4" w:space="1" w:color="auto"/>
      </w:pBdr>
      <w:ind w:left="720"/>
      <w:outlineLvl w:val="1"/>
    </w:pPr>
    <w:rPr>
      <w:b/>
    </w:rPr>
  </w:style>
  <w:style w:type="paragraph" w:styleId="Heading3">
    <w:name w:val="heading 3"/>
    <w:basedOn w:val="Normal"/>
    <w:next w:val="Normal"/>
    <w:rsid w:val="003D271F"/>
    <w:pPr>
      <w:keepNext/>
      <w:spacing w:after="60"/>
      <w:outlineLvl w:val="2"/>
    </w:pPr>
    <w:rPr>
      <w:b/>
    </w:rPr>
  </w:style>
  <w:style w:type="paragraph" w:styleId="Heading4">
    <w:name w:val="heading 4"/>
    <w:basedOn w:val="Normal"/>
    <w:next w:val="BodyText"/>
    <w:rsid w:val="003D271F"/>
    <w:pPr>
      <w:keepNext/>
      <w:pBdr>
        <w:top w:val="single" w:sz="4" w:space="1" w:color="auto"/>
      </w:pBdr>
      <w:spacing w:after="60"/>
      <w:outlineLvl w:val="3"/>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3D271F"/>
    <w:pPr>
      <w:spacing w:after="120"/>
    </w:pPr>
  </w:style>
  <w:style w:type="paragraph" w:styleId="TOC1">
    <w:name w:val="toc 1"/>
    <w:basedOn w:val="Normal"/>
    <w:next w:val="Normal"/>
    <w:autoRedefine/>
    <w:uiPriority w:val="39"/>
    <w:rsid w:val="009F7269"/>
    <w:pPr>
      <w:tabs>
        <w:tab w:val="right" w:leader="dot" w:pos="9360"/>
      </w:tabs>
    </w:pPr>
    <w:rPr>
      <w:b/>
      <w:noProof/>
      <w:color w:val="000000"/>
      <w:sz w:val="24"/>
      <w:szCs w:val="24"/>
    </w:rPr>
  </w:style>
  <w:style w:type="paragraph" w:styleId="TOC2">
    <w:name w:val="toc 2"/>
    <w:basedOn w:val="Normal"/>
    <w:next w:val="Normal"/>
    <w:autoRedefine/>
    <w:uiPriority w:val="39"/>
    <w:rsid w:val="00920516"/>
    <w:pPr>
      <w:tabs>
        <w:tab w:val="right" w:leader="dot" w:pos="9360"/>
      </w:tabs>
      <w:ind w:left="360"/>
    </w:pPr>
    <w:rPr>
      <w:noProof/>
      <w:sz w:val="16"/>
      <w:szCs w:val="16"/>
    </w:rPr>
  </w:style>
  <w:style w:type="paragraph" w:styleId="TOC3">
    <w:name w:val="toc 3"/>
    <w:basedOn w:val="Normal"/>
    <w:next w:val="Normal"/>
    <w:autoRedefine/>
    <w:rsid w:val="003D271F"/>
    <w:pPr>
      <w:tabs>
        <w:tab w:val="right" w:leader="dot" w:pos="4140"/>
      </w:tabs>
      <w:ind w:left="432"/>
    </w:pPr>
    <w:rPr>
      <w:noProof/>
      <w:sz w:val="16"/>
    </w:rPr>
  </w:style>
  <w:style w:type="paragraph" w:styleId="TOC4">
    <w:name w:val="toc 4"/>
    <w:basedOn w:val="Normal"/>
    <w:next w:val="Normal"/>
    <w:autoRedefine/>
    <w:rsid w:val="003D271F"/>
    <w:pPr>
      <w:ind w:left="600"/>
    </w:pPr>
  </w:style>
  <w:style w:type="paragraph" w:customStyle="1" w:styleId="SectionHead">
    <w:name w:val="Section Head"/>
    <w:basedOn w:val="Normal"/>
    <w:next w:val="PolicySectionText"/>
    <w:rsid w:val="003D271F"/>
    <w:pPr>
      <w:keepNext/>
      <w:spacing w:after="160"/>
      <w:ind w:left="720"/>
    </w:pPr>
    <w:rPr>
      <w:b/>
    </w:rPr>
  </w:style>
  <w:style w:type="paragraph" w:customStyle="1" w:styleId="PolicySectionText">
    <w:name w:val="Policy Section Text"/>
    <w:basedOn w:val="Normal"/>
    <w:rsid w:val="003D271F"/>
    <w:pPr>
      <w:spacing w:after="160"/>
      <w:ind w:left="720"/>
    </w:pPr>
  </w:style>
  <w:style w:type="paragraph" w:customStyle="1" w:styleId="sectionhead2">
    <w:name w:val="section head 2"/>
    <w:basedOn w:val="Normal"/>
    <w:rsid w:val="003D271F"/>
    <w:pPr>
      <w:keepNext/>
      <w:spacing w:before="160"/>
      <w:ind w:left="720"/>
    </w:pPr>
    <w:rPr>
      <w:b/>
    </w:rPr>
  </w:style>
  <w:style w:type="paragraph" w:customStyle="1" w:styleId="SectionBullet">
    <w:name w:val="Section Bullet"/>
    <w:basedOn w:val="Normal"/>
    <w:rsid w:val="003D271F"/>
    <w:pPr>
      <w:numPr>
        <w:numId w:val="3"/>
      </w:numPr>
      <w:tabs>
        <w:tab w:val="clear" w:pos="360"/>
      </w:tabs>
      <w:spacing w:before="60" w:after="60"/>
      <w:ind w:left="1530"/>
    </w:pPr>
  </w:style>
  <w:style w:type="paragraph" w:customStyle="1" w:styleId="SectionNumberedList">
    <w:name w:val="Section Numbered List"/>
    <w:basedOn w:val="Normal"/>
    <w:rsid w:val="003D271F"/>
    <w:pPr>
      <w:numPr>
        <w:numId w:val="4"/>
      </w:numPr>
      <w:tabs>
        <w:tab w:val="clear" w:pos="1080"/>
        <w:tab w:val="num" w:pos="1440"/>
      </w:tabs>
      <w:spacing w:after="160"/>
      <w:ind w:left="1440"/>
    </w:pPr>
  </w:style>
  <w:style w:type="paragraph" w:styleId="Header">
    <w:name w:val="header"/>
    <w:basedOn w:val="Normal"/>
    <w:link w:val="HeaderChar"/>
    <w:rsid w:val="003D271F"/>
    <w:pPr>
      <w:tabs>
        <w:tab w:val="center" w:pos="4320"/>
        <w:tab w:val="right" w:pos="8640"/>
      </w:tabs>
    </w:pPr>
  </w:style>
  <w:style w:type="paragraph" w:styleId="Footer">
    <w:name w:val="footer"/>
    <w:basedOn w:val="Normal"/>
    <w:link w:val="FooterChar"/>
    <w:uiPriority w:val="99"/>
    <w:rsid w:val="003D271F"/>
    <w:pPr>
      <w:tabs>
        <w:tab w:val="center" w:pos="4320"/>
        <w:tab w:val="right" w:pos="8640"/>
      </w:tabs>
    </w:pPr>
  </w:style>
  <w:style w:type="character" w:styleId="PageNumber">
    <w:name w:val="page number"/>
    <w:basedOn w:val="DefaultParagraphFont"/>
    <w:rsid w:val="003D271F"/>
  </w:style>
  <w:style w:type="paragraph" w:customStyle="1" w:styleId="SectionBullet2">
    <w:name w:val="Section Bullet 2"/>
    <w:basedOn w:val="Normal"/>
    <w:rsid w:val="003D271F"/>
    <w:pPr>
      <w:numPr>
        <w:numId w:val="5"/>
      </w:numPr>
      <w:tabs>
        <w:tab w:val="clear" w:pos="360"/>
        <w:tab w:val="left" w:pos="1800"/>
      </w:tabs>
      <w:spacing w:before="60" w:after="60"/>
      <w:ind w:left="1800"/>
    </w:pPr>
  </w:style>
  <w:style w:type="paragraph" w:styleId="TOC5">
    <w:name w:val="toc 5"/>
    <w:basedOn w:val="Normal"/>
    <w:next w:val="Normal"/>
    <w:autoRedefine/>
    <w:rsid w:val="003D271F"/>
    <w:pPr>
      <w:ind w:left="800"/>
    </w:pPr>
  </w:style>
  <w:style w:type="paragraph" w:customStyle="1" w:styleId="PolicyName">
    <w:name w:val="Policy Name"/>
    <w:basedOn w:val="Normal"/>
    <w:rsid w:val="003D271F"/>
    <w:rPr>
      <w:b/>
    </w:rPr>
  </w:style>
  <w:style w:type="paragraph" w:styleId="TOC6">
    <w:name w:val="toc 6"/>
    <w:basedOn w:val="Normal"/>
    <w:next w:val="Normal"/>
    <w:autoRedefine/>
    <w:rsid w:val="003D271F"/>
    <w:pPr>
      <w:ind w:left="1000"/>
    </w:pPr>
  </w:style>
  <w:style w:type="paragraph" w:styleId="TOC7">
    <w:name w:val="toc 7"/>
    <w:basedOn w:val="Normal"/>
    <w:next w:val="Normal"/>
    <w:autoRedefine/>
    <w:rsid w:val="003D271F"/>
    <w:pPr>
      <w:ind w:left="1200"/>
    </w:pPr>
  </w:style>
  <w:style w:type="paragraph" w:styleId="TOC8">
    <w:name w:val="toc 8"/>
    <w:basedOn w:val="Normal"/>
    <w:next w:val="Normal"/>
    <w:autoRedefine/>
    <w:rsid w:val="003D271F"/>
    <w:pPr>
      <w:ind w:left="1400"/>
    </w:pPr>
  </w:style>
  <w:style w:type="paragraph" w:styleId="TOC9">
    <w:name w:val="toc 9"/>
    <w:basedOn w:val="Normal"/>
    <w:next w:val="Normal"/>
    <w:autoRedefine/>
    <w:rsid w:val="003D271F"/>
    <w:pPr>
      <w:ind w:left="1600"/>
    </w:pPr>
  </w:style>
  <w:style w:type="paragraph" w:customStyle="1" w:styleId="Bullet">
    <w:name w:val="Bullet"/>
    <w:basedOn w:val="Normal"/>
    <w:rsid w:val="003D271F"/>
    <w:pPr>
      <w:numPr>
        <w:numId w:val="2"/>
      </w:numPr>
      <w:tabs>
        <w:tab w:val="clear" w:pos="360"/>
        <w:tab w:val="num" w:pos="720"/>
      </w:tabs>
      <w:spacing w:before="40" w:after="40"/>
      <w:ind w:left="734" w:hanging="187"/>
    </w:pPr>
  </w:style>
  <w:style w:type="paragraph" w:customStyle="1" w:styleId="TableText">
    <w:name w:val="Table Text"/>
    <w:basedOn w:val="Normal"/>
    <w:rsid w:val="003D271F"/>
    <w:pPr>
      <w:keepNext/>
      <w:keepLines/>
      <w:spacing w:before="60" w:after="60"/>
      <w:ind w:left="187"/>
    </w:pPr>
  </w:style>
  <w:style w:type="paragraph" w:customStyle="1" w:styleId="TableHead">
    <w:name w:val="Table Head"/>
    <w:basedOn w:val="Normal"/>
    <w:rsid w:val="003D271F"/>
    <w:pPr>
      <w:spacing w:before="40" w:after="40"/>
      <w:ind w:left="187"/>
      <w:jc w:val="center"/>
    </w:pPr>
    <w:rPr>
      <w:b/>
    </w:rPr>
  </w:style>
  <w:style w:type="character" w:styleId="CommentReference">
    <w:name w:val="annotation reference"/>
    <w:basedOn w:val="DefaultParagraphFont"/>
    <w:rsid w:val="003D271F"/>
    <w:rPr>
      <w:sz w:val="16"/>
    </w:rPr>
  </w:style>
  <w:style w:type="paragraph" w:styleId="CommentText">
    <w:name w:val="annotation text"/>
    <w:basedOn w:val="Normal"/>
    <w:link w:val="CommentTextChar"/>
    <w:rsid w:val="003D271F"/>
  </w:style>
  <w:style w:type="paragraph" w:styleId="FootnoteText">
    <w:name w:val="footnote text"/>
    <w:basedOn w:val="Normal"/>
    <w:semiHidden/>
    <w:rsid w:val="003D271F"/>
  </w:style>
  <w:style w:type="character" w:styleId="FootnoteReference">
    <w:name w:val="footnote reference"/>
    <w:basedOn w:val="DefaultParagraphFont"/>
    <w:semiHidden/>
    <w:rsid w:val="003D271F"/>
    <w:rPr>
      <w:vertAlign w:val="superscript"/>
    </w:rPr>
  </w:style>
  <w:style w:type="paragraph" w:customStyle="1" w:styleId="Line">
    <w:name w:val="Line"/>
    <w:basedOn w:val="TOC2"/>
    <w:rsid w:val="003D271F"/>
    <w:pPr>
      <w:pBdr>
        <w:bottom w:val="single" w:sz="4" w:space="1" w:color="auto"/>
      </w:pBdr>
      <w:tabs>
        <w:tab w:val="right" w:leader="dot" w:pos="9900"/>
      </w:tabs>
      <w:ind w:left="0"/>
    </w:pPr>
  </w:style>
  <w:style w:type="paragraph" w:customStyle="1" w:styleId="PolicyNumber">
    <w:name w:val="Policy Number"/>
    <w:basedOn w:val="Normal"/>
    <w:rsid w:val="003D271F"/>
    <w:rPr>
      <w:b/>
    </w:rPr>
  </w:style>
  <w:style w:type="paragraph" w:customStyle="1" w:styleId="Bullet2">
    <w:name w:val="Bullet 2"/>
    <w:basedOn w:val="Normal"/>
    <w:rsid w:val="003D271F"/>
    <w:pPr>
      <w:numPr>
        <w:numId w:val="1"/>
      </w:numPr>
      <w:tabs>
        <w:tab w:val="clear" w:pos="360"/>
        <w:tab w:val="left" w:pos="900"/>
      </w:tabs>
      <w:spacing w:before="60" w:after="60"/>
      <w:ind w:left="900"/>
    </w:pPr>
  </w:style>
  <w:style w:type="paragraph" w:customStyle="1" w:styleId="Disclaimer">
    <w:name w:val="Disclaimer"/>
    <w:basedOn w:val="Normal"/>
    <w:link w:val="DisclaimerChar"/>
    <w:rsid w:val="003D271F"/>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3A4742"/>
    <w:pPr>
      <w:tabs>
        <w:tab w:val="clear" w:pos="4320"/>
        <w:tab w:val="clear" w:pos="8640"/>
      </w:tabs>
    </w:pPr>
  </w:style>
  <w:style w:type="paragraph" w:customStyle="1" w:styleId="PolicyNumberName">
    <w:name w:val="Policy Number/Name"/>
    <w:basedOn w:val="Normal"/>
    <w:rsid w:val="009F1A07"/>
    <w:rPr>
      <w:b/>
    </w:rPr>
  </w:style>
  <w:style w:type="paragraph" w:customStyle="1" w:styleId="DefinitionName">
    <w:name w:val="Definition Name"/>
    <w:basedOn w:val="BodyText"/>
    <w:rsid w:val="00BE5239"/>
    <w:pPr>
      <w:spacing w:after="0"/>
    </w:pPr>
    <w:rPr>
      <w:b/>
      <w:bCs/>
    </w:rPr>
  </w:style>
  <w:style w:type="paragraph" w:customStyle="1" w:styleId="DefinitionText">
    <w:name w:val="Definition Text"/>
    <w:basedOn w:val="BodyText"/>
    <w:rsid w:val="00BE5239"/>
    <w:pPr>
      <w:spacing w:before="0"/>
    </w:pPr>
  </w:style>
  <w:style w:type="paragraph" w:customStyle="1" w:styleId="RRTitle">
    <w:name w:val="R&amp;R Title"/>
    <w:basedOn w:val="BodyText"/>
    <w:link w:val="RRTitleChar"/>
    <w:rsid w:val="00BE5239"/>
    <w:pPr>
      <w:spacing w:after="0"/>
    </w:pPr>
    <w:rPr>
      <w:b/>
    </w:rPr>
  </w:style>
  <w:style w:type="paragraph" w:customStyle="1" w:styleId="RRDescription">
    <w:name w:val="R&amp;R Description"/>
    <w:basedOn w:val="BodyText"/>
    <w:rsid w:val="00BE5239"/>
    <w:pPr>
      <w:spacing w:before="0"/>
    </w:pPr>
  </w:style>
  <w:style w:type="character" w:customStyle="1" w:styleId="BodyTextChar">
    <w:name w:val="Body Text Char"/>
    <w:basedOn w:val="DefaultParagraphFont"/>
    <w:link w:val="BodyText"/>
    <w:rsid w:val="00BE5239"/>
    <w:rPr>
      <w:rFonts w:ascii="Arial" w:hAnsi="Arial"/>
      <w:lang w:val="en-US" w:eastAsia="en-US" w:bidi="ar-SA"/>
    </w:rPr>
  </w:style>
  <w:style w:type="character" w:customStyle="1" w:styleId="RRTitleChar">
    <w:name w:val="R&amp;R Title Char"/>
    <w:basedOn w:val="BodyTextChar"/>
    <w:link w:val="RRTitle"/>
    <w:rsid w:val="00BE5239"/>
    <w:rPr>
      <w:rFonts w:ascii="Arial" w:hAnsi="Arial"/>
      <w:b/>
      <w:lang w:val="en-US" w:eastAsia="en-US" w:bidi="ar-SA"/>
    </w:rPr>
  </w:style>
  <w:style w:type="character" w:styleId="IntenseEmphasis">
    <w:name w:val="Intense Emphasis"/>
    <w:basedOn w:val="DefaultParagraphFont"/>
    <w:uiPriority w:val="21"/>
    <w:rsid w:val="001D3861"/>
    <w:rPr>
      <w:b/>
      <w:bCs/>
      <w:i/>
      <w:iCs/>
      <w:color w:val="4F81BD"/>
    </w:rPr>
  </w:style>
  <w:style w:type="character" w:styleId="Hyperlink">
    <w:name w:val="Hyperlink"/>
    <w:basedOn w:val="DefaultParagraphFont"/>
    <w:uiPriority w:val="99"/>
    <w:rsid w:val="00AD56FD"/>
    <w:rPr>
      <w:color w:val="0000FF"/>
      <w:u w:val="single"/>
    </w:rPr>
  </w:style>
  <w:style w:type="paragraph" w:styleId="CommentSubject">
    <w:name w:val="annotation subject"/>
    <w:basedOn w:val="CommentText"/>
    <w:next w:val="CommentText"/>
    <w:link w:val="CommentSubjectChar"/>
    <w:rsid w:val="00CA490A"/>
    <w:rPr>
      <w:b/>
      <w:bCs/>
    </w:rPr>
  </w:style>
  <w:style w:type="character" w:customStyle="1" w:styleId="CommentTextChar">
    <w:name w:val="Comment Text Char"/>
    <w:basedOn w:val="DefaultParagraphFont"/>
    <w:link w:val="CommentText"/>
    <w:rsid w:val="00CA490A"/>
    <w:rPr>
      <w:rFonts w:ascii="Arial" w:hAnsi="Arial"/>
    </w:rPr>
  </w:style>
  <w:style w:type="character" w:customStyle="1" w:styleId="CommentSubjectChar">
    <w:name w:val="Comment Subject Char"/>
    <w:basedOn w:val="CommentTextChar"/>
    <w:link w:val="CommentSubject"/>
    <w:rsid w:val="00CA490A"/>
    <w:rPr>
      <w:rFonts w:ascii="Arial" w:hAnsi="Arial"/>
    </w:rPr>
  </w:style>
  <w:style w:type="paragraph" w:styleId="BalloonText">
    <w:name w:val="Balloon Text"/>
    <w:basedOn w:val="Normal"/>
    <w:link w:val="BalloonTextChar"/>
    <w:rsid w:val="00CA490A"/>
    <w:rPr>
      <w:rFonts w:ascii="Tahoma" w:hAnsi="Tahoma" w:cs="Tahoma"/>
      <w:sz w:val="16"/>
      <w:szCs w:val="16"/>
    </w:rPr>
  </w:style>
  <w:style w:type="character" w:customStyle="1" w:styleId="BalloonTextChar">
    <w:name w:val="Balloon Text Char"/>
    <w:basedOn w:val="DefaultParagraphFont"/>
    <w:link w:val="BalloonText"/>
    <w:rsid w:val="00CA490A"/>
    <w:rPr>
      <w:rFonts w:ascii="Tahoma" w:hAnsi="Tahoma" w:cs="Tahoma"/>
      <w:sz w:val="16"/>
      <w:szCs w:val="16"/>
    </w:rPr>
  </w:style>
  <w:style w:type="paragraph" w:styleId="ListParagraph">
    <w:name w:val="List Paragraph"/>
    <w:basedOn w:val="Normal"/>
    <w:link w:val="ListParagraphChar"/>
    <w:uiPriority w:val="34"/>
    <w:qFormat/>
    <w:rsid w:val="00032FE2"/>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887A95"/>
    <w:rPr>
      <w:color w:val="800080" w:themeColor="followedHyperlink"/>
      <w:u w:val="single"/>
    </w:rPr>
  </w:style>
  <w:style w:type="paragraph" w:styleId="NormalWeb">
    <w:name w:val="Normal (Web)"/>
    <w:basedOn w:val="Normal"/>
    <w:uiPriority w:val="99"/>
    <w:unhideWhenUsed/>
    <w:rsid w:val="00F256D1"/>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DD4296"/>
    <w:pPr>
      <w:spacing w:after="120"/>
      <w:ind w:left="360"/>
    </w:pPr>
  </w:style>
  <w:style w:type="character" w:customStyle="1" w:styleId="BodyTextIndentChar">
    <w:name w:val="Body Text Indent Char"/>
    <w:basedOn w:val="DefaultParagraphFont"/>
    <w:link w:val="BodyTextIndent"/>
    <w:rsid w:val="00DD4296"/>
    <w:rPr>
      <w:rFonts w:ascii="Arial" w:hAnsi="Arial"/>
    </w:rPr>
  </w:style>
  <w:style w:type="character" w:styleId="Strong">
    <w:name w:val="Strong"/>
    <w:uiPriority w:val="22"/>
    <w:qFormat/>
    <w:rsid w:val="001426D8"/>
    <w:rPr>
      <w:b/>
      <w:bCs/>
    </w:rPr>
  </w:style>
  <w:style w:type="paragraph" w:customStyle="1" w:styleId="policysectiontext0">
    <w:name w:val="policysectiontext"/>
    <w:basedOn w:val="Normal"/>
    <w:link w:val="policysectiontextChar"/>
    <w:rsid w:val="00516E05"/>
    <w:pPr>
      <w:spacing w:before="100" w:beforeAutospacing="1" w:after="100" w:afterAutospacing="1"/>
    </w:pPr>
    <w:rPr>
      <w:rFonts w:ascii="Times New Roman" w:hAnsi="Times New Roman"/>
      <w:sz w:val="24"/>
      <w:szCs w:val="24"/>
    </w:rPr>
  </w:style>
  <w:style w:type="character" w:styleId="Emphasis">
    <w:name w:val="Emphasis"/>
    <w:uiPriority w:val="20"/>
    <w:rsid w:val="00EE6EAB"/>
    <w:rPr>
      <w:i/>
      <w:iCs/>
    </w:rPr>
  </w:style>
  <w:style w:type="paragraph" w:customStyle="1" w:styleId="rrtitle0">
    <w:name w:val="rrtitle"/>
    <w:basedOn w:val="Normal"/>
    <w:rsid w:val="005B138B"/>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semiHidden/>
    <w:unhideWhenUsed/>
    <w:rsid w:val="004E6561"/>
    <w:rPr>
      <w:color w:val="2B579A"/>
      <w:shd w:val="clear" w:color="auto" w:fill="E6E6E6"/>
    </w:rPr>
  </w:style>
  <w:style w:type="character" w:styleId="UnresolvedMention">
    <w:name w:val="Unresolved Mention"/>
    <w:basedOn w:val="DefaultParagraphFont"/>
    <w:uiPriority w:val="99"/>
    <w:semiHidden/>
    <w:unhideWhenUsed/>
    <w:rsid w:val="004F26BA"/>
    <w:rPr>
      <w:color w:val="808080"/>
      <w:shd w:val="clear" w:color="auto" w:fill="E6E6E6"/>
    </w:rPr>
  </w:style>
  <w:style w:type="paragraph" w:customStyle="1" w:styleId="sectionhead20">
    <w:name w:val="sectionhead2"/>
    <w:basedOn w:val="Normal"/>
    <w:rsid w:val="000213C0"/>
    <w:pPr>
      <w:spacing w:before="100" w:beforeAutospacing="1" w:after="100" w:afterAutospacing="1"/>
    </w:pPr>
    <w:rPr>
      <w:rFonts w:ascii="Times New Roman" w:hAnsi="Times New Roman"/>
      <w:sz w:val="24"/>
      <w:szCs w:val="24"/>
    </w:rPr>
  </w:style>
  <w:style w:type="paragraph" w:styleId="Title">
    <w:name w:val="Title"/>
    <w:basedOn w:val="Normal"/>
    <w:link w:val="TitleChar"/>
    <w:rsid w:val="0048727B"/>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48727B"/>
    <w:rPr>
      <w:rFonts w:ascii="Arial" w:hAnsi="Arial" w:eastAsiaTheme="majorEastAsia" w:cstheme="majorBidi"/>
      <w:b/>
      <w:spacing w:val="-10"/>
      <w:kern w:val="28"/>
      <w:sz w:val="36"/>
      <w:szCs w:val="56"/>
    </w:rPr>
  </w:style>
  <w:style w:type="table" w:styleId="TableGrid">
    <w:name w:val="Table Grid"/>
    <w:basedOn w:val="TableNormal"/>
    <w:rsid w:val="00391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36350D"/>
  </w:style>
  <w:style w:type="character" w:customStyle="1" w:styleId="FooterChar">
    <w:name w:val="Footer Char"/>
    <w:basedOn w:val="DefaultParagraphFont"/>
    <w:link w:val="Footer"/>
    <w:uiPriority w:val="99"/>
    <w:rsid w:val="00823578"/>
    <w:rPr>
      <w:rFonts w:ascii="Arial" w:hAnsi="Arial"/>
    </w:rPr>
  </w:style>
  <w:style w:type="character" w:customStyle="1" w:styleId="HeaderChar">
    <w:name w:val="Header Char"/>
    <w:basedOn w:val="DefaultParagraphFont"/>
    <w:link w:val="Header"/>
    <w:rsid w:val="00B25E5B"/>
    <w:rPr>
      <w:rFonts w:ascii="Arial" w:hAnsi="Arial"/>
    </w:rPr>
  </w:style>
  <w:style w:type="character" w:styleId="PlaceholderText">
    <w:name w:val="Placeholder Text"/>
    <w:basedOn w:val="DefaultParagraphFont"/>
    <w:uiPriority w:val="99"/>
    <w:semiHidden/>
    <w:rsid w:val="0088318A"/>
    <w:rPr>
      <w:color w:val="808080"/>
    </w:rPr>
  </w:style>
  <w:style w:type="paragraph" w:customStyle="1" w:styleId="Style1">
    <w:name w:val="Style1"/>
    <w:basedOn w:val="BodyText"/>
    <w:link w:val="Style1Char"/>
    <w:rsid w:val="00FD7383"/>
  </w:style>
  <w:style w:type="paragraph" w:customStyle="1" w:styleId="Level1">
    <w:name w:val="Level1"/>
    <w:basedOn w:val="BodyText"/>
    <w:link w:val="Level1Char"/>
    <w:rsid w:val="00FD7383"/>
    <w:pPr>
      <w:numPr>
        <w:numId w:val="6"/>
      </w:numPr>
    </w:pPr>
    <w:rPr>
      <w:b/>
      <w:bCs/>
    </w:rPr>
  </w:style>
  <w:style w:type="character" w:customStyle="1" w:styleId="Style1Char">
    <w:name w:val="Style1 Char"/>
    <w:basedOn w:val="BodyTextChar"/>
    <w:link w:val="Style1"/>
    <w:rsid w:val="00FD7383"/>
    <w:rPr>
      <w:rFonts w:ascii="Arial" w:hAnsi="Arial"/>
      <w:lang w:val="en-US" w:eastAsia="en-US" w:bidi="ar-SA"/>
    </w:rPr>
  </w:style>
  <w:style w:type="paragraph" w:customStyle="1" w:styleId="Level2">
    <w:name w:val="Level2"/>
    <w:basedOn w:val="policysectiontext0"/>
    <w:link w:val="Level2Char"/>
    <w:rsid w:val="00FD7383"/>
    <w:pPr>
      <w:numPr>
        <w:ilvl w:val="1"/>
        <w:numId w:val="6"/>
      </w:numPr>
      <w:spacing w:before="120" w:beforeAutospacing="0" w:after="120" w:afterAutospacing="0"/>
    </w:pPr>
    <w:rPr>
      <w:rFonts w:ascii="Arial" w:hAnsi="Arial" w:cs="Arial"/>
    </w:rPr>
  </w:style>
  <w:style w:type="character" w:customStyle="1" w:styleId="Level1Char">
    <w:name w:val="Level1 Char"/>
    <w:basedOn w:val="BodyTextChar"/>
    <w:link w:val="Level1"/>
    <w:rsid w:val="00FD7383"/>
    <w:rPr>
      <w:rFonts w:ascii="Arial" w:hAnsi="Arial"/>
      <w:b/>
      <w:bCs/>
      <w:lang w:val="en-US" w:eastAsia="en-US" w:bidi="ar-SA"/>
    </w:rPr>
  </w:style>
  <w:style w:type="character" w:customStyle="1" w:styleId="policysectiontextChar">
    <w:name w:val="policysectiontext Char"/>
    <w:basedOn w:val="DefaultParagraphFont"/>
    <w:link w:val="policysectiontext0"/>
    <w:rsid w:val="00FD7383"/>
    <w:rPr>
      <w:sz w:val="24"/>
      <w:szCs w:val="24"/>
    </w:rPr>
  </w:style>
  <w:style w:type="character" w:customStyle="1" w:styleId="Level2Char">
    <w:name w:val="Level2 Char"/>
    <w:basedOn w:val="policysectiontextChar"/>
    <w:link w:val="Level2"/>
    <w:rsid w:val="00FD7383"/>
    <w:rPr>
      <w:rFonts w:ascii="Arial" w:hAnsi="Arial" w:cs="Arial"/>
      <w:sz w:val="24"/>
      <w:szCs w:val="24"/>
    </w:rPr>
  </w:style>
  <w:style w:type="paragraph" w:customStyle="1" w:styleId="DocTitle">
    <w:name w:val="Doc Title"/>
    <w:basedOn w:val="Normal"/>
    <w:link w:val="DocTitleChar"/>
    <w:autoRedefine/>
    <w:qFormat/>
    <w:rsid w:val="00EC53A3"/>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414FB2"/>
    <w:pPr>
      <w:pBdr>
        <w:top w:val="none" w:sz="0" w:space="0" w:color="auto"/>
      </w:pBdr>
      <w:spacing w:before="0"/>
    </w:pPr>
    <w:rPr>
      <w:color w:val="00356B"/>
      <w:sz w:val="28"/>
    </w:rPr>
  </w:style>
  <w:style w:type="character" w:customStyle="1" w:styleId="DocTitleChar">
    <w:name w:val="Doc Title Char"/>
    <w:basedOn w:val="DefaultParagraphFont"/>
    <w:link w:val="DocTitle"/>
    <w:rsid w:val="00EC53A3"/>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423574"/>
    <w:pPr>
      <w:numPr>
        <w:numId w:val="7"/>
      </w:numPr>
    </w:pPr>
    <w:rPr>
      <w:b/>
      <w:bCs/>
    </w:rPr>
  </w:style>
  <w:style w:type="character" w:customStyle="1" w:styleId="Heading1Char">
    <w:name w:val="Heading 1 Char"/>
    <w:basedOn w:val="DefaultParagraphFont"/>
    <w:link w:val="Heading1"/>
    <w:rsid w:val="005E5583"/>
    <w:rPr>
      <w:rFonts w:ascii="Arial" w:hAnsi="Arial"/>
      <w:b/>
      <w:sz w:val="24"/>
    </w:rPr>
  </w:style>
  <w:style w:type="character" w:customStyle="1" w:styleId="SectionHeadingChar">
    <w:name w:val="Section Heading Char"/>
    <w:basedOn w:val="Heading1Char"/>
    <w:link w:val="SectionHeading"/>
    <w:rsid w:val="00414FB2"/>
    <w:rPr>
      <w:rFonts w:ascii="Arial" w:hAnsi="Arial"/>
      <w:b/>
      <w:color w:val="00356B"/>
      <w:sz w:val="28"/>
    </w:rPr>
  </w:style>
  <w:style w:type="paragraph" w:customStyle="1" w:styleId="2-PolicySectionLevel">
    <w:name w:val="2- Policy Section Level"/>
    <w:basedOn w:val="ListParagraph"/>
    <w:link w:val="2-PolicySectionLevelChar"/>
    <w:qFormat/>
    <w:rsid w:val="000276AF"/>
    <w:pPr>
      <w:numPr>
        <w:ilvl w:val="1"/>
        <w:numId w:val="7"/>
      </w:numPr>
    </w:pPr>
  </w:style>
  <w:style w:type="character" w:customStyle="1" w:styleId="ListParagraphChar">
    <w:name w:val="List Paragraph Char"/>
    <w:basedOn w:val="DefaultParagraphFont"/>
    <w:link w:val="ListParagraph"/>
    <w:uiPriority w:val="34"/>
    <w:rsid w:val="00423574"/>
    <w:rPr>
      <w:rFonts w:ascii="Arial" w:hAnsi="Arial"/>
    </w:rPr>
  </w:style>
  <w:style w:type="character" w:customStyle="1" w:styleId="1-PolicySectionlevelChar">
    <w:name w:val="1- Policy Section level Char"/>
    <w:basedOn w:val="ListParagraphChar"/>
    <w:link w:val="1-PolicySectionlevel"/>
    <w:rsid w:val="00423574"/>
    <w:rPr>
      <w:rFonts w:ascii="Arial" w:hAnsi="Arial"/>
      <w:b/>
      <w:bCs/>
    </w:rPr>
  </w:style>
  <w:style w:type="paragraph" w:customStyle="1" w:styleId="3-PolicySectionLevel">
    <w:name w:val="3- Policy Section Level"/>
    <w:basedOn w:val="ListParagraph"/>
    <w:link w:val="3-PolicySectionLevelChar"/>
    <w:qFormat/>
    <w:rsid w:val="00EC03D1"/>
    <w:pPr>
      <w:numPr>
        <w:ilvl w:val="2"/>
        <w:numId w:val="7"/>
      </w:numPr>
    </w:pPr>
  </w:style>
  <w:style w:type="character" w:customStyle="1" w:styleId="2-PolicySectionLevelChar">
    <w:name w:val="2- Policy Section Level Char"/>
    <w:basedOn w:val="ListParagraphChar"/>
    <w:link w:val="2-PolicySectionLevel"/>
    <w:rsid w:val="000276AF"/>
    <w:rPr>
      <w:rFonts w:ascii="Arial" w:hAnsi="Arial"/>
    </w:rPr>
  </w:style>
  <w:style w:type="paragraph" w:customStyle="1" w:styleId="4-PolicySectionLevel">
    <w:name w:val="4- Policy Section Level"/>
    <w:basedOn w:val="ListParagraph"/>
    <w:link w:val="4-PolicySectionLevelChar"/>
    <w:qFormat/>
    <w:rsid w:val="00EC03D1"/>
    <w:pPr>
      <w:numPr>
        <w:ilvl w:val="3"/>
        <w:numId w:val="7"/>
      </w:numPr>
    </w:pPr>
  </w:style>
  <w:style w:type="character" w:customStyle="1" w:styleId="3-PolicySectionLevelChar">
    <w:name w:val="3- Policy Section Level Char"/>
    <w:basedOn w:val="ListParagraphChar"/>
    <w:link w:val="3-PolicySectionLevel"/>
    <w:rsid w:val="00EC03D1"/>
    <w:rPr>
      <w:rFonts w:ascii="Arial" w:hAnsi="Arial"/>
    </w:rPr>
  </w:style>
  <w:style w:type="character" w:customStyle="1" w:styleId="4-PolicySectionLevelChar">
    <w:name w:val="4- Policy Section Level Char"/>
    <w:basedOn w:val="ListParagraphChar"/>
    <w:link w:val="4-PolicySectionLevel"/>
    <w:rsid w:val="00EC03D1"/>
    <w:rPr>
      <w:rFonts w:ascii="Arial" w:hAnsi="Arial"/>
    </w:rPr>
  </w:style>
  <w:style w:type="paragraph" w:customStyle="1" w:styleId="FootNote">
    <w:name w:val="Foot Note"/>
    <w:basedOn w:val="Disclaimer"/>
    <w:link w:val="FootNoteChar"/>
    <w:qFormat/>
    <w:rsid w:val="00964C57"/>
  </w:style>
  <w:style w:type="character" w:customStyle="1" w:styleId="DisclaimerChar">
    <w:name w:val="Disclaimer Char"/>
    <w:basedOn w:val="DefaultParagraphFont"/>
    <w:link w:val="Disclaimer"/>
    <w:rsid w:val="00964C57"/>
    <w:rPr>
      <w:rFonts w:ascii="Arial" w:hAnsi="Arial"/>
      <w:sz w:val="16"/>
    </w:rPr>
  </w:style>
  <w:style w:type="character" w:customStyle="1" w:styleId="FootNoteChar">
    <w:name w:val="Foot Note Char"/>
    <w:basedOn w:val="DisclaimerChar"/>
    <w:link w:val="FootNote"/>
    <w:rsid w:val="00964C57"/>
    <w:rPr>
      <w:rFonts w:ascii="Arial" w:hAnsi="Arial"/>
      <w:sz w:val="16"/>
    </w:rPr>
  </w:style>
  <w:style w:type="paragraph" w:customStyle="1" w:styleId="xmsonormal">
    <w:name w:val="x_msonormal"/>
    <w:basedOn w:val="Normal"/>
    <w:rsid w:val="00F056F8"/>
    <w:pPr>
      <w:spacing w:before="100" w:beforeAutospacing="1" w:after="100" w:afterAutospacing="1"/>
      <w:contextualSpacing w:val="0"/>
    </w:pPr>
    <w:rPr>
      <w:rFonts w:ascii="Times New Roman" w:hAnsi="Times New Roman"/>
      <w:sz w:val="24"/>
      <w:szCs w:val="24"/>
    </w:rPr>
  </w:style>
  <w:style w:type="character" w:customStyle="1" w:styleId="cf01">
    <w:name w:val="cf01"/>
    <w:basedOn w:val="DefaultParagraphFont"/>
    <w:rsid w:val="00F056F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yale.navexone.com/content/docview/?docid=510&amp;public=true&amp;fileonly=true&amp;app=pt&amp;source=doclink" TargetMode="External" /><Relationship Id="rId11" Type="http://schemas.openxmlformats.org/officeDocument/2006/relationships/hyperlink" Target="mailto:ysmcontroller@yale.edu" TargetMode="External" /><Relationship Id="rId12" Type="http://schemas.openxmlformats.org/officeDocument/2006/relationships/hyperlink" Target="mailto:HRPP@yale.edu" TargetMode="External" /><Relationship Id="rId13" Type="http://schemas.openxmlformats.org/officeDocument/2006/relationships/hyperlink" Target="https://m.yale.edu/ycci-requests" TargetMode="External" /><Relationship Id="rId14" Type="http://schemas.openxmlformats.org/officeDocument/2006/relationships/hyperlink" Target="mailto:Yale.CTgov@yale.edu" TargetMode="External" /><Relationship Id="rId15" Type="http://schemas.openxmlformats.org/officeDocument/2006/relationships/hyperlink" Target=":%20https:/medicine.yale.edu/center-clinical-investigation/research-services/" TargetMode="External" /><Relationship Id="rId16" Type="http://schemas.openxmlformats.org/officeDocument/2006/relationships/hyperlink" Target="https://m.yale.edu/ycci-requests" TargetMode="External" /><Relationship Id="rId17" Type="http://schemas.openxmlformats.org/officeDocument/2006/relationships/hyperlink" Target="https://yale.navexone.com/content/docview/?app=pt&amp;source=doclink&amp;docid=1191"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04d2a09b-94f1-4973-8ed8-fbaa66fce832">
      <UserInfo>
        <DisplayName>Berry, JAMIE</DisplayName>
        <AccountId>92</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0486398EB18DF48ACAA0AD3E6E790C4" ma:contentTypeVersion="8" ma:contentTypeDescription="Create a new document." ma:contentTypeScope="" ma:versionID="be8f53c2b78a3aeabaf6f0684a039b72">
  <xsd:schema xmlns:xsd="http://www.w3.org/2001/XMLSchema" xmlns:xs="http://www.w3.org/2001/XMLSchema" xmlns:p="http://schemas.microsoft.com/office/2006/metadata/properties" xmlns:ns2="27462e43-9cd8-4f08-a7dd-81e06addf9ec" xmlns:ns3="04d2a09b-94f1-4973-8ed8-fbaa66fce832" targetNamespace="http://schemas.microsoft.com/office/2006/metadata/properties" ma:root="true" ma:fieldsID="e1c37e9f001a55a78ef22ed08e1c5ba7" ns2:_="" ns3:_="">
    <xsd:import namespace="27462e43-9cd8-4f08-a7dd-81e06addf9ec"/>
    <xsd:import namespace="04d2a09b-94f1-4973-8ed8-fbaa66fce8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62e43-9cd8-4f08-a7dd-81e06addf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4d2a09b-94f1-4973-8ed8-fbaa66fce83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customXml/itemProps2.xml><?xml version="1.0" encoding="utf-8"?>
<ds:datastoreItem xmlns:ds="http://schemas.openxmlformats.org/officeDocument/2006/customXml" ds:itemID="{A7FD67AB-5C5C-4699-AC4D-2BFE5CC19241}">
  <ds:schemaRefs>
    <ds:schemaRef ds:uri="http://schemas.microsoft.com/office/2006/metadata/properties"/>
    <ds:schemaRef ds:uri="http://schemas.microsoft.com/office/infopath/2007/PartnerControls"/>
    <ds:schemaRef ds:uri="04d2a09b-94f1-4973-8ed8-fbaa66fce832"/>
  </ds:schemaRefs>
</ds:datastoreItem>
</file>

<file path=customXml/itemProps3.xml><?xml version="1.0" encoding="utf-8"?>
<ds:datastoreItem xmlns:ds="http://schemas.openxmlformats.org/officeDocument/2006/customXml" ds:itemID="{355224B8-3B84-43DC-B710-0F09DAB0B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62e43-9cd8-4f08-a7dd-81e06addf9ec"/>
    <ds:schemaRef ds:uri="04d2a09b-94f1-4973-8ed8-fbaa66fce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E9C2F69-704C-4590-9E13-570F68CEE7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8</Pages>
  <Words>3423</Words>
  <Characters>20538</Characters>
  <Application>Microsoft Office Word</Application>
  <DocSecurity>0</DocSecurity>
  <Lines>410</Lines>
  <Paragraphs>237</Paragraphs>
  <ScaleCrop>false</ScaleCrop>
  <HeadingPairs>
    <vt:vector size="2" baseType="variant">
      <vt:variant>
        <vt:lpstr>Title</vt:lpstr>
      </vt:variant>
      <vt:variant>
        <vt:i4>1</vt:i4>
      </vt:variant>
    </vt:vector>
  </HeadingPairs>
  <TitlesOfParts>
    <vt:vector size="1" baseType="lpstr">
      <vt:lpstr>University Policy Template</vt:lpstr>
    </vt:vector>
  </TitlesOfParts>
  <Company>Yale University</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Policy Template</dc:title>
  <dc:creator>Hettiarachchi, Parami</dc:creator>
  <cp:lastModifiedBy>Schieren, Kelsey</cp:lastModifiedBy>
  <cp:revision>4</cp:revision>
  <cp:lastPrinted>2015-08-17T19:29:00Z</cp:lastPrinted>
  <dcterms:created xsi:type="dcterms:W3CDTF">2025-06-16T19:47:00Z</dcterms:created>
  <dcterms:modified xsi:type="dcterms:W3CDTF">2025-10-24T00:43:00Z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0x010100D0486398EB18DF48ACAA0AD3E6E790C4</vt:lpwstr>
  </property>
</Properties>
</file>