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5A2D23" w:rsidP="00917A22" w14:paraId="6063700F" w14:textId="77777777">
      <w:pPr>
        <w:rPr>
          <w:rFonts w:ascii="Arial" w:hAnsi="Arial" w:cs="Arial"/>
          <w:sz w:val="20"/>
        </w:rPr>
        <w:sectPr w:rsidSect="00E5410F">
          <w:headerReference w:type="default" r:id="rId8"/>
          <w:footerReference w:type="default" r:id="rId9"/>
          <w:headerReference w:type="first" r:id="rId10"/>
          <w:footerReference w:type="first" r:id="rId11"/>
          <w:type w:val="continuous"/>
          <w:pgSz w:w="12240" w:h="15840" w:code="1"/>
          <w:pgMar w:top="1440" w:right="1440" w:bottom="1440" w:left="1440" w:header="720" w:footer="720" w:gutter="0"/>
          <w:cols w:space="720"/>
          <w:titlePg/>
        </w:sectPr>
      </w:pPr>
    </w:p>
    <w:p w:rsidR="005A2D23" w:rsidP="007C229B" w14:paraId="383CA013" w14:textId="58F7531C">
      <w:pPr>
        <w:keepNext/>
        <w:pBdr>
          <w:top w:val="single" w:sz="4" w:space="0" w:color="auto"/>
        </w:pBdr>
        <w:spacing w:before="240" w:after="120"/>
        <w:contextualSpacing/>
        <w:outlineLvl w:val="0"/>
        <w:rPr>
          <w:rFonts w:ascii="Arial" w:hAnsi="Arial" w:cs="Arial"/>
          <w:sz w:val="20"/>
        </w:rPr>
      </w:pPr>
    </w:p>
    <w:p w:rsidR="00705C05" w:rsidRPr="00A711AE" w:rsidP="007C229B" w14:paraId="49154242" w14:textId="249DE8C3">
      <w:pPr>
        <w:keepNext/>
        <w:pBdr>
          <w:top w:val="single" w:sz="4" w:space="0" w:color="auto"/>
        </w:pBdr>
        <w:spacing w:before="240" w:after="240"/>
        <w:outlineLvl w:val="0"/>
        <w:rPr>
          <w:rFonts w:ascii="Arial" w:hAnsi="Arial" w:cs="Arial"/>
          <w:b/>
          <w:color w:val="365F91" w:themeColor="accent1" w:themeShade="BF"/>
          <w:sz w:val="28"/>
          <w:szCs w:val="28"/>
        </w:rPr>
      </w:pPr>
      <w:r w:rsidRPr="00A711AE">
        <w:rPr>
          <w:rFonts w:ascii="Arial" w:hAnsi="Arial" w:cs="Arial"/>
          <w:b/>
          <w:color w:val="365F91" w:themeColor="accent1" w:themeShade="BF"/>
          <w:sz w:val="28"/>
          <w:szCs w:val="28"/>
        </w:rPr>
        <w:t>1.0</w:t>
      </w:r>
      <w:r w:rsidRPr="00A711AE">
        <w:rPr>
          <w:rFonts w:ascii="Arial" w:hAnsi="Arial" w:cs="Arial"/>
          <w:b/>
          <w:color w:val="365F91" w:themeColor="accent1" w:themeShade="BF"/>
          <w:sz w:val="28"/>
          <w:szCs w:val="28"/>
        </w:rPr>
        <w:tab/>
        <w:t>Scope</w:t>
      </w:r>
    </w:p>
    <w:p w:rsidR="005A2D23" w:rsidP="00584523" w14:paraId="08D5D4C5" w14:textId="759C1AA7">
      <w:pPr>
        <w:spacing w:line="276" w:lineRule="auto"/>
        <w:ind w:left="720"/>
        <w:contextualSpacing/>
        <w:rPr>
          <w:rFonts w:ascii="Arial" w:hAnsi="Arial" w:eastAsiaTheme="minorEastAsia" w:cs="Arial"/>
          <w:sz w:val="20"/>
        </w:rPr>
      </w:pPr>
      <w:r w:rsidRPr="005A2D23">
        <w:rPr>
          <w:rFonts w:ascii="Arial" w:hAnsi="Arial" w:eastAsiaTheme="minorEastAsia" w:cs="Arial"/>
          <w:sz w:val="20"/>
        </w:rPr>
        <w:t xml:space="preserve">This Standard Operating Procedure applies to all research projects being managed by </w:t>
      </w:r>
      <w:r w:rsidR="00705C05">
        <w:rPr>
          <w:rFonts w:ascii="Arial" w:hAnsi="Arial" w:eastAsiaTheme="minorEastAsia" w:cs="Arial"/>
          <w:sz w:val="20"/>
        </w:rPr>
        <w:t>Yale Center for Clinical Investigation (</w:t>
      </w:r>
      <w:r w:rsidRPr="005A2D23">
        <w:rPr>
          <w:rFonts w:ascii="Arial" w:hAnsi="Arial" w:eastAsiaTheme="minorEastAsia" w:cs="Arial"/>
          <w:sz w:val="20"/>
        </w:rPr>
        <w:t>YCCI</w:t>
      </w:r>
      <w:r w:rsidR="00705C05">
        <w:rPr>
          <w:rFonts w:ascii="Arial" w:hAnsi="Arial" w:eastAsiaTheme="minorEastAsia" w:cs="Arial"/>
          <w:sz w:val="20"/>
        </w:rPr>
        <w:t>)</w:t>
      </w:r>
      <w:r w:rsidRPr="005A2D23">
        <w:rPr>
          <w:rFonts w:ascii="Arial" w:hAnsi="Arial" w:eastAsiaTheme="minorEastAsia" w:cs="Arial"/>
          <w:sz w:val="20"/>
        </w:rPr>
        <w:t xml:space="preserve"> Clinical Trials Project Management</w:t>
      </w:r>
      <w:r w:rsidR="00C14C69">
        <w:rPr>
          <w:rFonts w:ascii="Arial" w:hAnsi="Arial" w:eastAsiaTheme="minorEastAsia" w:cs="Arial"/>
          <w:sz w:val="20"/>
        </w:rPr>
        <w:t xml:space="preserve"> team</w:t>
      </w:r>
      <w:r w:rsidRPr="005A2D23">
        <w:rPr>
          <w:rFonts w:ascii="Arial" w:hAnsi="Arial" w:eastAsiaTheme="minorEastAsia" w:cs="Arial"/>
          <w:sz w:val="20"/>
        </w:rPr>
        <w:t xml:space="preserve">. </w:t>
      </w:r>
    </w:p>
    <w:p w:rsidR="005A2D23" w:rsidRPr="005A2D23" w:rsidP="00584523" w14:paraId="357C751A" w14:textId="77777777">
      <w:pPr>
        <w:pBdr>
          <w:top w:val="nil"/>
          <w:left w:val="nil"/>
          <w:bottom w:val="nil"/>
          <w:right w:val="nil"/>
          <w:between w:val="nil"/>
        </w:pBdr>
        <w:tabs>
          <w:tab w:val="left" w:pos="450"/>
        </w:tabs>
        <w:spacing w:line="276" w:lineRule="auto"/>
        <w:rPr>
          <w:rFonts w:ascii="Arial" w:hAnsi="Arial" w:cs="Arial"/>
          <w:sz w:val="20"/>
        </w:rPr>
      </w:pPr>
    </w:p>
    <w:p w:rsidR="00FF143F" w:rsidRPr="00A711AE" w:rsidP="00584523" w14:paraId="23646536" w14:textId="7E0B110F">
      <w:pPr>
        <w:pStyle w:val="SectionHeading"/>
        <w:numPr>
          <w:ilvl w:val="0"/>
          <w:numId w:val="24"/>
        </w:numPr>
        <w:spacing w:line="276" w:lineRule="auto"/>
        <w:ind w:left="720" w:hanging="720"/>
        <w:rPr>
          <w:color w:val="365F91" w:themeColor="accent1" w:themeShade="BF"/>
          <w:sz w:val="28"/>
          <w:szCs w:val="28"/>
        </w:rPr>
        <w:sectPr w:rsidSect="00641FF8">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cols w:space="720"/>
          <w:titlePg/>
        </w:sectPr>
      </w:pPr>
      <w:r w:rsidRPr="00A711AE">
        <w:rPr>
          <w:color w:val="365F91" w:themeColor="accent1" w:themeShade="BF"/>
          <w:sz w:val="28"/>
          <w:szCs w:val="28"/>
        </w:rPr>
        <w:t>Purpos</w:t>
      </w:r>
      <w:r w:rsidRPr="00A711AE" w:rsidR="002B7698">
        <w:rPr>
          <w:color w:val="365F91" w:themeColor="accent1" w:themeShade="BF"/>
          <w:sz w:val="28"/>
          <w:szCs w:val="28"/>
        </w:rPr>
        <w:t>e</w:t>
      </w:r>
    </w:p>
    <w:p w:rsidR="001C74A9" w:rsidRPr="00B8052C" w:rsidP="009C636A" w14:paraId="6C850645" w14:textId="7D3B52F3">
      <w:pPr>
        <w:spacing w:line="276" w:lineRule="auto"/>
        <w:ind w:left="720"/>
        <w:rPr>
          <w:rFonts w:ascii="Arial" w:hAnsi="Arial" w:eastAsiaTheme="minorEastAsia" w:cs="Arial"/>
          <w:sz w:val="20"/>
        </w:rPr>
      </w:pPr>
      <w:r w:rsidRPr="005A2D23">
        <w:rPr>
          <w:rFonts w:ascii="Arial" w:hAnsi="Arial" w:eastAsiaTheme="minorEastAsia" w:cs="Arial"/>
          <w:sz w:val="20"/>
        </w:rPr>
        <w:t>Yale Center for Clinical Investigation (YCCI) will maintain adequate regulatory documents for trials managed by Clinical Trials Project Management (CTPM)</w:t>
      </w:r>
      <w:r w:rsidR="00C14C69">
        <w:rPr>
          <w:rFonts w:ascii="Arial" w:hAnsi="Arial" w:eastAsiaTheme="minorEastAsia" w:cs="Arial"/>
          <w:sz w:val="20"/>
        </w:rPr>
        <w:t>, as applicable based on the nature and scope of the project</w:t>
      </w:r>
      <w:r w:rsidRPr="005A2D23">
        <w:rPr>
          <w:rFonts w:ascii="Arial" w:hAnsi="Arial" w:eastAsiaTheme="minorEastAsia" w:cs="Arial"/>
          <w:sz w:val="20"/>
        </w:rPr>
        <w:t xml:space="preserve">.  Regulatory files maintained on behalf of the Sponsor, Sponsor-Investigator, or Principal Investigator will be stored in a Trial Master File (TMF). </w:t>
      </w:r>
    </w:p>
    <w:p w:rsidR="001C74A9" w:rsidRPr="007C229B" w:rsidP="009C636A" w14:paraId="49818619" w14:textId="677C9EE9">
      <w:pPr>
        <w:pStyle w:val="ListParagraph"/>
        <w:numPr>
          <w:ilvl w:val="0"/>
          <w:numId w:val="25"/>
        </w:numPr>
        <w:pBdr>
          <w:top w:val="nil"/>
          <w:left w:val="nil"/>
          <w:bottom w:val="nil"/>
          <w:right w:val="nil"/>
          <w:between w:val="nil"/>
        </w:pBdr>
        <w:spacing w:before="240" w:after="240" w:line="276" w:lineRule="auto"/>
        <w:ind w:left="720" w:hanging="720"/>
        <w:rPr>
          <w:rFonts w:cs="Arial"/>
          <w:b/>
          <w:color w:val="365F91" w:themeColor="accent1" w:themeShade="BF"/>
          <w:sz w:val="28"/>
          <w:szCs w:val="28"/>
        </w:rPr>
      </w:pPr>
      <w:r w:rsidRPr="007C229B">
        <w:rPr>
          <w:rFonts w:cs="Arial"/>
          <w:b/>
          <w:color w:val="365F91" w:themeColor="accent1" w:themeShade="BF"/>
          <w:sz w:val="28"/>
          <w:szCs w:val="28"/>
        </w:rPr>
        <w:t>Definitions and Abbreviations</w:t>
      </w:r>
    </w:p>
    <w:p w:rsidR="001C74A9" w:rsidRPr="00214A50" w:rsidP="00214A50" w14:paraId="0902408E" w14:textId="337C5475">
      <w:pPr>
        <w:spacing w:line="276" w:lineRule="auto"/>
        <w:ind w:left="720"/>
        <w:rPr>
          <w:rFonts w:ascii="Arial" w:hAnsi="Arial" w:cs="Arial"/>
          <w:color w:val="000000"/>
          <w:sz w:val="20"/>
          <w:shd w:val="clear" w:color="auto" w:fill="FFFFFF"/>
        </w:rPr>
      </w:pPr>
      <w:r w:rsidRPr="00214A50">
        <w:rPr>
          <w:rFonts w:ascii="Arial" w:hAnsi="Arial" w:eastAsiaTheme="minorEastAsia" w:cs="Arial"/>
          <w:b/>
          <w:bCs/>
          <w:sz w:val="20"/>
        </w:rPr>
        <w:t>International Conference on Harmonisation (ICH) Good Clinical Practice (GCP)</w:t>
      </w:r>
      <w:r w:rsidRPr="00214A50">
        <w:rPr>
          <w:rFonts w:ascii="Arial" w:hAnsi="Arial" w:eastAsiaTheme="minorEastAsia" w:cs="Arial"/>
          <w:i/>
          <w:iCs/>
          <w:sz w:val="20"/>
        </w:rPr>
        <w:t xml:space="preserve"> -</w:t>
      </w:r>
      <w:r w:rsidRPr="00214A50" w:rsidR="00214A50">
        <w:rPr>
          <w:rFonts w:ascii="Arial" w:hAnsi="Arial" w:cs="Arial"/>
          <w:color w:val="000000"/>
          <w:sz w:val="20"/>
          <w:shd w:val="clear" w:color="auto" w:fill="FFFFFF"/>
        </w:rPr>
        <w:t xml:space="preserve"> </w:t>
      </w:r>
      <w:r w:rsidRPr="00214A50" w:rsidR="00214A50">
        <w:rPr>
          <w:rStyle w:val="normaltextrun"/>
          <w:rFonts w:ascii="Arial" w:hAnsi="Arial" w:cs="Arial"/>
          <w:color w:val="000000"/>
          <w:sz w:val="20"/>
          <w:shd w:val="clear" w:color="auto" w:fill="FFFFFF"/>
        </w:rPr>
        <w:t>an international ethical and scientific quality standard for the design, conduct, performance, monitoring, auditing, recording, analyses, and reporting of clinical trials that provides assurance that the data and reported results are credible and accurate, and that the rights, integrity, and confidentiality of trial subjects are protected.</w:t>
      </w:r>
      <w:r w:rsidRPr="00214A50" w:rsidR="00214A50">
        <w:rPr>
          <w:rStyle w:val="eop"/>
          <w:rFonts w:ascii="Arial" w:hAnsi="Arial" w:cs="Arial"/>
          <w:color w:val="000000"/>
          <w:sz w:val="20"/>
          <w:shd w:val="clear" w:color="auto" w:fill="FFFFFF"/>
        </w:rPr>
        <w:t> </w:t>
      </w:r>
    </w:p>
    <w:p w:rsidR="001C74A9" w:rsidRPr="005A2D23" w:rsidP="00584523" w14:paraId="36734866" w14:textId="77777777">
      <w:pPr>
        <w:spacing w:line="276" w:lineRule="auto"/>
        <w:ind w:left="720"/>
        <w:rPr>
          <w:rFonts w:ascii="Arial" w:hAnsi="Arial" w:eastAsiaTheme="minorEastAsia" w:cs="Arial"/>
          <w:i/>
          <w:sz w:val="20"/>
          <w:u w:val="single"/>
        </w:rPr>
      </w:pPr>
    </w:p>
    <w:p w:rsidR="001C74A9" w:rsidRPr="008E470D" w:rsidP="00584523" w14:paraId="7FAD4F76" w14:textId="374239C0">
      <w:pPr>
        <w:spacing w:line="276" w:lineRule="auto"/>
        <w:ind w:left="720"/>
        <w:rPr>
          <w:rFonts w:ascii="Arial" w:hAnsi="Arial" w:eastAsiaTheme="minorEastAsia" w:cs="Arial"/>
          <w:i/>
          <w:iCs/>
          <w:sz w:val="20"/>
          <w:u w:val="single"/>
        </w:rPr>
      </w:pPr>
      <w:r w:rsidRPr="00A438BD">
        <w:rPr>
          <w:rFonts w:ascii="Arial" w:hAnsi="Arial" w:eastAsiaTheme="minorEastAsia" w:cs="Arial"/>
          <w:b/>
          <w:bCs/>
          <w:sz w:val="20"/>
        </w:rPr>
        <w:t>Sponsor</w:t>
      </w:r>
      <w:r w:rsidRPr="00A438BD">
        <w:rPr>
          <w:rFonts w:ascii="Arial" w:hAnsi="Arial" w:eastAsiaTheme="minorEastAsia" w:cs="Arial"/>
          <w:i/>
          <w:iCs/>
          <w:sz w:val="20"/>
        </w:rPr>
        <w:t xml:space="preserve"> </w:t>
      </w:r>
      <w:r w:rsidRPr="005A2D23">
        <w:rPr>
          <w:rFonts w:ascii="Arial" w:hAnsi="Arial" w:eastAsiaTheme="minorEastAsia" w:cs="Arial"/>
          <w:i/>
          <w:iCs/>
          <w:sz w:val="20"/>
        </w:rPr>
        <w:t xml:space="preserve">- </w:t>
      </w:r>
      <w:r w:rsidR="00B32977">
        <w:rPr>
          <w:rFonts w:ascii="Arial" w:hAnsi="Arial" w:cs="Arial"/>
          <w:sz w:val="20"/>
        </w:rPr>
        <w:t>a</w:t>
      </w:r>
      <w:r w:rsidRPr="00B32977" w:rsidR="00B32977">
        <w:rPr>
          <w:rFonts w:ascii="Arial" w:hAnsi="Arial" w:cs="Arial"/>
          <w:sz w:val="20"/>
        </w:rPr>
        <w:t xml:space="preserve">n individual, company, institution or </w:t>
      </w:r>
      <w:r w:rsidRPr="00B32977" w:rsidR="00B32977">
        <w:rPr>
          <w:rFonts w:ascii="Arial" w:hAnsi="Arial" w:cs="Arial"/>
          <w:sz w:val="20"/>
        </w:rPr>
        <w:t>organization</w:t>
      </w:r>
      <w:r w:rsidRPr="00B32977" w:rsidR="00B32977">
        <w:rPr>
          <w:rFonts w:ascii="Arial" w:hAnsi="Arial" w:cs="Arial"/>
          <w:sz w:val="20"/>
        </w:rPr>
        <w:t xml:space="preserve"> that takes responsibility for the initiation, management and arrangement of the financing of a clinical trial. A clinical trial may have one or several sponsors where permitted under regulatory requirements. All sponsors have the responsibilities of a sponsor set out in this guideline. In accordance with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1C74A9" w:rsidRPr="005A2D23" w:rsidP="00584523" w14:paraId="36CE5CFA" w14:textId="77777777">
      <w:pPr>
        <w:spacing w:line="276" w:lineRule="auto"/>
        <w:ind w:left="720"/>
        <w:rPr>
          <w:rFonts w:ascii="Arial" w:hAnsi="Arial" w:eastAsiaTheme="minorEastAsia" w:cs="Arial"/>
          <w:i/>
          <w:sz w:val="20"/>
          <w:u w:val="single"/>
        </w:rPr>
      </w:pPr>
    </w:p>
    <w:p w:rsidR="001C74A9" w:rsidRPr="008212F0" w:rsidP="00584523" w14:paraId="7703964F" w14:textId="6D3FC6E0">
      <w:pPr>
        <w:spacing w:line="276" w:lineRule="auto"/>
        <w:ind w:left="720"/>
        <w:rPr>
          <w:rFonts w:ascii="Arial" w:hAnsi="Arial" w:cs="Arial"/>
          <w:sz w:val="20"/>
        </w:rPr>
      </w:pPr>
      <w:r w:rsidRPr="00A438BD">
        <w:rPr>
          <w:rFonts w:ascii="Arial" w:hAnsi="Arial" w:eastAsiaTheme="minorEastAsia" w:cs="Arial"/>
          <w:b/>
          <w:bCs/>
          <w:sz w:val="20"/>
        </w:rPr>
        <w:t>Spo</w:t>
      </w:r>
      <w:r w:rsidRPr="008212F0">
        <w:rPr>
          <w:rFonts w:ascii="Arial" w:hAnsi="Arial" w:eastAsiaTheme="minorEastAsia" w:cs="Arial"/>
          <w:b/>
          <w:bCs/>
          <w:sz w:val="20"/>
        </w:rPr>
        <w:t>nsor-Investigator</w:t>
      </w:r>
      <w:r w:rsidRPr="008212F0">
        <w:rPr>
          <w:rFonts w:ascii="Arial" w:hAnsi="Arial" w:eastAsiaTheme="minorEastAsia" w:cs="Arial"/>
          <w:i/>
          <w:iCs/>
          <w:sz w:val="20"/>
        </w:rPr>
        <w:t xml:space="preserve"> - </w:t>
      </w:r>
      <w:r w:rsidR="00B32977">
        <w:rPr>
          <w:rFonts w:ascii="Arial" w:hAnsi="Arial" w:cs="Arial"/>
          <w:sz w:val="20"/>
        </w:rPr>
        <w:t>a</w:t>
      </w:r>
      <w:r w:rsidRPr="00B32977" w:rsidR="00B32977">
        <w:rPr>
          <w:rFonts w:ascii="Arial" w:hAnsi="Arial" w:cs="Arial"/>
          <w:sz w:val="20"/>
        </w:rPr>
        <w:t>n individual who both initiates and conducts, alone or with others, a clinical trial, and under whose immediate direction the investigational product is administered to, dispensed to or used by a participant. The term does not include any person other than an individual (e.g., the term does not include a corporation or an agency). The obligations of a sponsor-investigator include both those of a sponsor and those of an investigator.</w:t>
      </w:r>
    </w:p>
    <w:p w:rsidR="008212F0" w:rsidRPr="005A2D23" w:rsidP="00584523" w14:paraId="14FED500" w14:textId="77777777">
      <w:pPr>
        <w:spacing w:line="276" w:lineRule="auto"/>
        <w:ind w:left="720"/>
        <w:rPr>
          <w:rFonts w:ascii="Arial" w:hAnsi="Arial" w:eastAsiaTheme="minorEastAsia" w:cs="Arial"/>
          <w:sz w:val="20"/>
        </w:rPr>
      </w:pPr>
    </w:p>
    <w:p w:rsidR="001C74A9" w:rsidRPr="00B32977" w:rsidP="00B32977" w14:paraId="241AB895" w14:textId="2CEE3776">
      <w:pPr>
        <w:spacing w:line="276" w:lineRule="auto"/>
        <w:ind w:left="720"/>
        <w:rPr>
          <w:rFonts w:ascii="Arial" w:hAnsi="Arial" w:cs="Arial"/>
          <w:sz w:val="20"/>
        </w:rPr>
      </w:pPr>
      <w:r w:rsidRPr="00A438BD">
        <w:rPr>
          <w:rFonts w:ascii="Arial" w:hAnsi="Arial" w:eastAsiaTheme="minorEastAsia" w:cs="Arial"/>
          <w:b/>
          <w:bCs/>
          <w:sz w:val="20"/>
        </w:rPr>
        <w:t xml:space="preserve">Essential </w:t>
      </w:r>
      <w:r w:rsidR="00B32977">
        <w:rPr>
          <w:rFonts w:ascii="Arial" w:hAnsi="Arial" w:eastAsiaTheme="minorEastAsia" w:cs="Arial"/>
          <w:b/>
          <w:bCs/>
          <w:sz w:val="20"/>
        </w:rPr>
        <w:t>Records</w:t>
      </w:r>
      <w:r w:rsidRPr="005A2D23">
        <w:rPr>
          <w:rFonts w:ascii="Arial" w:hAnsi="Arial" w:eastAsiaTheme="minorEastAsia" w:cs="Arial"/>
          <w:sz w:val="20"/>
        </w:rPr>
        <w:t xml:space="preserve"> </w:t>
      </w:r>
      <w:r w:rsidRPr="00C05985">
        <w:rPr>
          <w:rFonts w:ascii="Arial" w:hAnsi="Arial" w:eastAsiaTheme="minorEastAsia" w:cs="Arial"/>
          <w:sz w:val="20"/>
        </w:rPr>
        <w:t xml:space="preserve">- </w:t>
      </w:r>
      <w:r w:rsidRPr="00B32977" w:rsidR="00B32977">
        <w:rPr>
          <w:rFonts w:ascii="Arial" w:hAnsi="Arial" w:cs="Arial"/>
          <w:sz w:val="20"/>
        </w:rPr>
        <w:t>Essential records are the documents and data (and relevant metadata), in any format, associated with a clinical trial that facilitate the ongoing management of the trial and collectively allow</w:t>
      </w:r>
      <w:r w:rsidR="00B32977">
        <w:rPr>
          <w:rFonts w:ascii="Arial" w:hAnsi="Arial" w:cs="Arial"/>
          <w:sz w:val="20"/>
        </w:rPr>
        <w:t xml:space="preserve"> </w:t>
      </w:r>
      <w:r w:rsidRPr="00B32977" w:rsidR="00B32977">
        <w:rPr>
          <w:rFonts w:ascii="Arial" w:hAnsi="Arial" w:cs="Arial"/>
          <w:sz w:val="20"/>
        </w:rPr>
        <w:t xml:space="preserve">the evaluation of the methods used, the factors affecting a trial and the actions taken during the trial conduct to determine the reliability of the trial results produced and the </w:t>
      </w:r>
      <w:r w:rsidRPr="00B32977" w:rsidR="00B32977">
        <w:rPr>
          <w:rFonts w:ascii="Arial" w:hAnsi="Arial" w:cs="Arial"/>
          <w:sz w:val="20"/>
        </w:rPr>
        <w:t>verification that the trial was conducted in accordance with GCP and applicable regulatory requirements</w:t>
      </w:r>
      <w:r w:rsidR="00B32977">
        <w:rPr>
          <w:rFonts w:ascii="Arial" w:hAnsi="Arial" w:cs="Arial"/>
          <w:sz w:val="20"/>
        </w:rPr>
        <w:t>,</w:t>
      </w:r>
    </w:p>
    <w:p w:rsidR="00C05985" w:rsidRPr="005A2D23" w:rsidP="00584523" w14:paraId="29960191" w14:textId="77777777">
      <w:pPr>
        <w:spacing w:line="276" w:lineRule="auto"/>
        <w:ind w:left="720"/>
        <w:rPr>
          <w:rFonts w:ascii="Arial" w:hAnsi="Arial" w:eastAsiaTheme="minorEastAsia" w:cs="Arial"/>
          <w:sz w:val="20"/>
        </w:rPr>
      </w:pPr>
    </w:p>
    <w:p w:rsidR="001C74A9" w:rsidRPr="00251B96" w:rsidP="00584523" w14:paraId="3027E946" w14:textId="3C80DFD0">
      <w:pPr>
        <w:autoSpaceDE w:val="0"/>
        <w:autoSpaceDN w:val="0"/>
        <w:adjustRightInd w:val="0"/>
        <w:spacing w:line="276" w:lineRule="auto"/>
        <w:ind w:left="720"/>
        <w:rPr>
          <w:rFonts w:ascii="Arial" w:hAnsi="Arial" w:eastAsiaTheme="minorEastAsia" w:cs="Arial"/>
          <w:sz w:val="20"/>
        </w:rPr>
      </w:pPr>
      <w:r w:rsidRPr="00A438BD">
        <w:rPr>
          <w:rFonts w:ascii="Arial" w:hAnsi="Arial" w:eastAsiaTheme="minorEastAsia" w:cs="Arial"/>
          <w:b/>
          <w:bCs/>
          <w:sz w:val="20"/>
        </w:rPr>
        <w:t>Trial Master File (TMF</w:t>
      </w:r>
      <w:r w:rsidRPr="001D2117">
        <w:rPr>
          <w:rFonts w:ascii="Arial" w:hAnsi="Arial" w:eastAsiaTheme="minorEastAsia" w:cs="Arial"/>
          <w:b/>
          <w:bCs/>
          <w:sz w:val="20"/>
        </w:rPr>
        <w:t>)</w:t>
      </w:r>
      <w:r w:rsidRPr="001D2117">
        <w:rPr>
          <w:rFonts w:ascii="Arial" w:hAnsi="Arial" w:eastAsiaTheme="minorEastAsia" w:cs="Arial"/>
          <w:i/>
          <w:iCs/>
          <w:sz w:val="20"/>
        </w:rPr>
        <w:t xml:space="preserve"> </w:t>
      </w:r>
      <w:r w:rsidRPr="00251B96">
        <w:rPr>
          <w:rFonts w:ascii="Arial" w:hAnsi="Arial" w:eastAsiaTheme="minorEastAsia" w:cs="Arial"/>
          <w:i/>
          <w:iCs/>
          <w:sz w:val="20"/>
        </w:rPr>
        <w:t xml:space="preserve">- </w:t>
      </w:r>
      <w:r w:rsidRPr="00251B96" w:rsidR="00251B96">
        <w:rPr>
          <w:rFonts w:ascii="Arial" w:hAnsi="Arial" w:cs="Arial"/>
          <w:color w:val="000000"/>
          <w:sz w:val="20"/>
        </w:rPr>
        <w:t>a collection of all essential documents required to be maintained by the Sponsor or Sponsor-Investigator in accordance with applicable regulations.</w:t>
      </w:r>
    </w:p>
    <w:p w:rsidR="001C74A9" w:rsidRPr="005A2D23" w:rsidP="00584523" w14:paraId="062CDE4D" w14:textId="77777777">
      <w:pPr>
        <w:autoSpaceDE w:val="0"/>
        <w:autoSpaceDN w:val="0"/>
        <w:adjustRightInd w:val="0"/>
        <w:spacing w:line="276" w:lineRule="auto"/>
        <w:ind w:left="720"/>
        <w:rPr>
          <w:rFonts w:ascii="Arial" w:hAnsi="Arial" w:eastAsiaTheme="minorEastAsia" w:cs="Arial"/>
          <w:sz w:val="20"/>
        </w:rPr>
      </w:pPr>
    </w:p>
    <w:p w:rsidR="001C74A9" w:rsidP="006E5D3B" w14:paraId="27DB1BC9" w14:textId="3652035C">
      <w:pPr>
        <w:spacing w:line="276" w:lineRule="auto"/>
        <w:ind w:left="720"/>
        <w:rPr>
          <w:color w:val="000000"/>
        </w:rPr>
      </w:pPr>
      <w:r w:rsidRPr="00A438BD">
        <w:rPr>
          <w:rFonts w:ascii="Arial" w:hAnsi="Arial" w:eastAsiaTheme="minorEastAsia" w:cs="Arial"/>
          <w:b/>
          <w:bCs/>
          <w:sz w:val="20"/>
        </w:rPr>
        <w:t>Electronic Trial Master File (eTMF)</w:t>
      </w:r>
      <w:r w:rsidRPr="005A2D23">
        <w:rPr>
          <w:rFonts w:ascii="Arial" w:hAnsi="Arial" w:eastAsiaTheme="minorEastAsia" w:cs="Arial"/>
          <w:i/>
          <w:iCs/>
          <w:sz w:val="20"/>
        </w:rPr>
        <w:t xml:space="preserve"> </w:t>
      </w:r>
      <w:r w:rsidRPr="00BF44D3">
        <w:rPr>
          <w:rFonts w:ascii="Arial" w:hAnsi="Arial" w:eastAsiaTheme="minorEastAsia" w:cs="Arial"/>
          <w:i/>
          <w:iCs/>
          <w:sz w:val="20"/>
        </w:rPr>
        <w:t xml:space="preserve">- </w:t>
      </w:r>
      <w:r w:rsidRPr="00BF44D3" w:rsidR="00BF44D3">
        <w:rPr>
          <w:rFonts w:ascii="Arial" w:hAnsi="Arial" w:cs="Arial"/>
          <w:color w:val="000000"/>
          <w:sz w:val="20"/>
        </w:rPr>
        <w:t>a Trial Master File that is maintained electronically</w:t>
      </w:r>
      <w:r w:rsidR="00BF44D3">
        <w:rPr>
          <w:color w:val="000000"/>
        </w:rPr>
        <w:t>.</w:t>
      </w:r>
    </w:p>
    <w:p w:rsidR="002A0FF4" w:rsidP="006E5D3B" w14:paraId="2D58CCA2" w14:textId="77777777">
      <w:pPr>
        <w:spacing w:line="276" w:lineRule="auto"/>
        <w:ind w:left="720"/>
        <w:rPr>
          <w:rFonts w:ascii="Arial" w:hAnsi="Arial" w:eastAsiaTheme="minorEastAsia" w:cs="Arial"/>
          <w:color w:val="333333"/>
          <w:sz w:val="20"/>
        </w:rPr>
      </w:pPr>
    </w:p>
    <w:p w:rsidR="002A0FF4" w:rsidRPr="002A0FF4" w:rsidP="002A0FF4" w14:paraId="57B5441A" w14:textId="69AF1281">
      <w:pPr>
        <w:pStyle w:val="BodyText"/>
        <w:ind w:left="720"/>
      </w:pPr>
      <w:r>
        <w:t>The terms “subject” and “participant” where applicable are interchangeable.</w:t>
      </w:r>
    </w:p>
    <w:p w:rsidR="001C74A9" w:rsidRPr="007C229B" w:rsidP="00E12D9C" w14:paraId="0C5D9970" w14:textId="6D541797">
      <w:pPr>
        <w:keepNext/>
        <w:numPr>
          <w:ilvl w:val="0"/>
          <w:numId w:val="25"/>
        </w:numPr>
        <w:pBdr>
          <w:top w:val="nil"/>
          <w:left w:val="nil"/>
          <w:bottom w:val="nil"/>
          <w:right w:val="nil"/>
          <w:between w:val="nil"/>
        </w:pBdr>
        <w:spacing w:before="240" w:after="240" w:line="276" w:lineRule="auto"/>
        <w:ind w:left="720" w:hanging="634"/>
        <w:rPr>
          <w:rFonts w:ascii="Arial" w:hAnsi="Arial" w:cs="Arial"/>
          <w:b/>
          <w:color w:val="365F91" w:themeColor="accent1" w:themeShade="BF"/>
          <w:sz w:val="28"/>
          <w:szCs w:val="28"/>
        </w:rPr>
      </w:pPr>
      <w:r w:rsidRPr="007C229B">
        <w:rPr>
          <w:rFonts w:ascii="Arial" w:hAnsi="Arial" w:cs="Arial"/>
          <w:b/>
          <w:color w:val="365F91" w:themeColor="accent1" w:themeShade="BF"/>
          <w:sz w:val="28"/>
          <w:szCs w:val="28"/>
        </w:rPr>
        <w:t>Procedure</w:t>
      </w:r>
    </w:p>
    <w:p w:rsidR="001C74A9" w:rsidRPr="005A2D23" w:rsidP="00B10D52" w14:paraId="4D0D79A2" w14:textId="6E7DF244">
      <w:pPr>
        <w:pStyle w:val="Default"/>
        <w:keepNext/>
        <w:spacing w:line="276" w:lineRule="auto"/>
        <w:ind w:left="720"/>
        <w:rPr>
          <w:rFonts w:ascii="Arial" w:hAnsi="Arial" w:cs="Arial"/>
          <w:color w:val="auto"/>
          <w:sz w:val="20"/>
          <w:szCs w:val="20"/>
        </w:rPr>
      </w:pPr>
      <w:r>
        <w:rPr>
          <w:rFonts w:ascii="Arial" w:hAnsi="Arial" w:cs="Arial"/>
          <w:color w:val="auto"/>
          <w:sz w:val="20"/>
          <w:szCs w:val="20"/>
        </w:rPr>
        <w:t xml:space="preserve">At the time of project intake, a senior member of the CTPM team will determine if a </w:t>
      </w:r>
      <w:r w:rsidRPr="005A2D23" w:rsidR="00D86548">
        <w:rPr>
          <w:rFonts w:ascii="Arial" w:hAnsi="Arial" w:cs="Arial"/>
          <w:color w:val="auto"/>
          <w:sz w:val="20"/>
          <w:szCs w:val="20"/>
        </w:rPr>
        <w:t>Trial Master File (TMF) or Electronic Trial Master File (eTMF)</w:t>
      </w:r>
      <w:r>
        <w:rPr>
          <w:rFonts w:ascii="Arial" w:hAnsi="Arial" w:cs="Arial"/>
          <w:color w:val="auto"/>
          <w:sz w:val="20"/>
          <w:szCs w:val="20"/>
        </w:rPr>
        <w:t xml:space="preserve"> is required based on the nature and scope of the project (see TMF Applicability section below). The TMF or eTMF</w:t>
      </w:r>
      <w:r w:rsidRPr="005A2D23" w:rsidR="00D86548">
        <w:rPr>
          <w:rFonts w:ascii="Arial" w:hAnsi="Arial" w:cs="Arial"/>
          <w:color w:val="auto"/>
          <w:sz w:val="20"/>
          <w:szCs w:val="20"/>
        </w:rPr>
        <w:t xml:space="preserve"> holds essential </w:t>
      </w:r>
      <w:r w:rsidR="000A64C4">
        <w:rPr>
          <w:rFonts w:ascii="Arial" w:hAnsi="Arial" w:cs="Arial"/>
          <w:color w:val="auto"/>
          <w:sz w:val="20"/>
          <w:szCs w:val="20"/>
        </w:rPr>
        <w:t>records</w:t>
      </w:r>
      <w:r w:rsidRPr="005A2D23" w:rsidR="00D86548">
        <w:rPr>
          <w:rFonts w:ascii="Arial" w:hAnsi="Arial" w:cs="Arial"/>
          <w:color w:val="auto"/>
          <w:sz w:val="20"/>
          <w:szCs w:val="20"/>
        </w:rPr>
        <w:t xml:space="preserve"> and relevant </w:t>
      </w:r>
      <w:r>
        <w:rPr>
          <w:rFonts w:ascii="Arial" w:hAnsi="Arial" w:cs="Arial"/>
          <w:color w:val="auto"/>
          <w:sz w:val="20"/>
          <w:szCs w:val="20"/>
        </w:rPr>
        <w:t xml:space="preserve">regulatory </w:t>
      </w:r>
      <w:r w:rsidR="000A64C4">
        <w:rPr>
          <w:rFonts w:ascii="Arial" w:hAnsi="Arial" w:cs="Arial"/>
          <w:color w:val="auto"/>
          <w:sz w:val="20"/>
          <w:szCs w:val="20"/>
        </w:rPr>
        <w:t>records</w:t>
      </w:r>
      <w:r w:rsidRPr="005A2D23" w:rsidR="00D86548">
        <w:rPr>
          <w:rFonts w:ascii="Arial" w:hAnsi="Arial" w:cs="Arial"/>
          <w:color w:val="auto"/>
          <w:sz w:val="20"/>
          <w:szCs w:val="20"/>
        </w:rPr>
        <w:t xml:space="preserve"> required to demonstrate oversight and compliance.  </w:t>
      </w:r>
    </w:p>
    <w:p w:rsidR="00D62826" w:rsidRPr="00E46806" w:rsidP="00D62826" w14:paraId="45B0E377" w14:textId="4C3BC927">
      <w:pPr>
        <w:pStyle w:val="ListParagraph"/>
        <w:numPr>
          <w:ilvl w:val="1"/>
          <w:numId w:val="25"/>
        </w:numPr>
        <w:tabs>
          <w:tab w:val="left" w:pos="1440"/>
        </w:tabs>
        <w:spacing w:before="120" w:after="120" w:line="276" w:lineRule="auto"/>
        <w:contextualSpacing w:val="0"/>
        <w:rPr>
          <w:rFonts w:cs="Arial"/>
          <w:b/>
        </w:rPr>
      </w:pPr>
      <w:r>
        <w:rPr>
          <w:rFonts w:cs="Arial"/>
          <w:b/>
        </w:rPr>
        <w:t>TMF Applicability</w:t>
      </w:r>
    </w:p>
    <w:p w:rsidR="00C14C69" w:rsidP="00D62826" w14:paraId="08D4CAEF" w14:textId="270E7E9B">
      <w:pPr>
        <w:pStyle w:val="ListParagraph"/>
        <w:tabs>
          <w:tab w:val="left" w:pos="1440"/>
        </w:tabs>
        <w:spacing w:line="276" w:lineRule="auto"/>
        <w:ind w:left="1080"/>
        <w:rPr>
          <w:rFonts w:eastAsiaTheme="minorEastAsia" w:cs="Arial"/>
        </w:rPr>
      </w:pPr>
      <w:r>
        <w:rPr>
          <w:rFonts w:eastAsiaTheme="minorEastAsia" w:cs="Arial"/>
        </w:rPr>
        <w:t xml:space="preserve">A senior member of the CTPM team will determine if a TMF is required based on the nature and scope of the project. A TMF  may not be required if all of the below are true. </w:t>
      </w:r>
    </w:p>
    <w:p w:rsidR="00D62826" w:rsidP="00D62826" w14:paraId="3BB6C2FC" w14:textId="5DAE2A37">
      <w:pPr>
        <w:pStyle w:val="ListParagraph"/>
        <w:numPr>
          <w:ilvl w:val="0"/>
          <w:numId w:val="32"/>
        </w:numPr>
        <w:tabs>
          <w:tab w:val="left" w:pos="1440"/>
        </w:tabs>
        <w:spacing w:line="276" w:lineRule="auto"/>
        <w:rPr>
          <w:rFonts w:eastAsiaTheme="minorEastAsia" w:cs="Arial"/>
        </w:rPr>
      </w:pPr>
      <w:r>
        <w:rPr>
          <w:rFonts w:eastAsiaTheme="minorEastAsia" w:cs="Arial"/>
        </w:rPr>
        <w:t xml:space="preserve"> The study is a single site study open only at Yale AND</w:t>
      </w:r>
    </w:p>
    <w:p w:rsidR="00D62826" w:rsidP="00D62826" w14:paraId="5611AF2D" w14:textId="611E18A9">
      <w:pPr>
        <w:pStyle w:val="ListParagraph"/>
        <w:numPr>
          <w:ilvl w:val="0"/>
          <w:numId w:val="32"/>
        </w:numPr>
        <w:tabs>
          <w:tab w:val="left" w:pos="1440"/>
        </w:tabs>
        <w:spacing w:line="276" w:lineRule="auto"/>
        <w:rPr>
          <w:rFonts w:eastAsiaTheme="minorEastAsia" w:cs="Arial"/>
        </w:rPr>
      </w:pPr>
      <w:r>
        <w:rPr>
          <w:rFonts w:eastAsiaTheme="minorEastAsia" w:cs="Arial"/>
        </w:rPr>
        <w:t xml:space="preserve"> The study is not intended to support </w:t>
      </w:r>
      <w:r w:rsidR="003F2407">
        <w:rPr>
          <w:rFonts w:eastAsiaTheme="minorEastAsia" w:cs="Arial"/>
        </w:rPr>
        <w:t xml:space="preserve">future </w:t>
      </w:r>
      <w:r>
        <w:rPr>
          <w:rFonts w:eastAsiaTheme="minorEastAsia" w:cs="Arial"/>
        </w:rPr>
        <w:t>commercialization AND</w:t>
      </w:r>
    </w:p>
    <w:p w:rsidR="00D62826" w:rsidP="00D62826" w14:paraId="62202D88" w14:textId="737225E9">
      <w:pPr>
        <w:pStyle w:val="ListParagraph"/>
        <w:numPr>
          <w:ilvl w:val="0"/>
          <w:numId w:val="32"/>
        </w:numPr>
        <w:tabs>
          <w:tab w:val="left" w:pos="1440"/>
        </w:tabs>
        <w:spacing w:line="276" w:lineRule="auto"/>
        <w:rPr>
          <w:rFonts w:eastAsiaTheme="minorEastAsia" w:cs="Arial"/>
        </w:rPr>
      </w:pPr>
      <w:r>
        <w:rPr>
          <w:rFonts w:eastAsiaTheme="minorEastAsia" w:cs="Arial"/>
        </w:rPr>
        <w:t xml:space="preserve"> Data is not being shared outside of the University AND</w:t>
      </w:r>
    </w:p>
    <w:p w:rsidR="003F2407" w:rsidRPr="00E46806" w:rsidP="00E46806" w14:paraId="166050AC" w14:textId="721BBAFA">
      <w:pPr>
        <w:pStyle w:val="ListParagraph"/>
        <w:numPr>
          <w:ilvl w:val="0"/>
          <w:numId w:val="32"/>
        </w:numPr>
        <w:tabs>
          <w:tab w:val="left" w:pos="1440"/>
        </w:tabs>
        <w:spacing w:line="276" w:lineRule="auto"/>
        <w:rPr>
          <w:rFonts w:eastAsiaTheme="minorEastAsia" w:cs="Arial"/>
        </w:rPr>
      </w:pPr>
      <w:r>
        <w:rPr>
          <w:rFonts w:eastAsiaTheme="minorEastAsia" w:cs="Arial"/>
        </w:rPr>
        <w:t xml:space="preserve"> I</w:t>
      </w:r>
      <w:r w:rsidR="00C81874">
        <w:rPr>
          <w:rFonts w:eastAsiaTheme="minorEastAsia" w:cs="Arial"/>
        </w:rPr>
        <w:t xml:space="preserve">nvestigational </w:t>
      </w:r>
      <w:r>
        <w:rPr>
          <w:rFonts w:eastAsiaTheme="minorEastAsia" w:cs="Arial"/>
        </w:rPr>
        <w:t>P</w:t>
      </w:r>
      <w:r w:rsidR="00C81874">
        <w:rPr>
          <w:rFonts w:eastAsiaTheme="minorEastAsia" w:cs="Arial"/>
        </w:rPr>
        <w:t>roduct</w:t>
      </w:r>
      <w:r>
        <w:rPr>
          <w:rFonts w:eastAsiaTheme="minorEastAsia" w:cs="Arial"/>
        </w:rPr>
        <w:t xml:space="preserve"> is being sourced</w:t>
      </w:r>
      <w:r w:rsidR="00E710F0">
        <w:rPr>
          <w:rFonts w:eastAsiaTheme="minorEastAsia" w:cs="Arial"/>
        </w:rPr>
        <w:t xml:space="preserve"> either</w:t>
      </w:r>
      <w:r>
        <w:rPr>
          <w:rFonts w:eastAsiaTheme="minorEastAsia" w:cs="Arial"/>
        </w:rPr>
        <w:t xml:space="preserve"> through a manufacturer with an existing FDA application that is cross referenced in the Yale application </w:t>
      </w:r>
      <w:r w:rsidR="00E710F0">
        <w:rPr>
          <w:rFonts w:eastAsiaTheme="minorEastAsia" w:cs="Arial"/>
        </w:rPr>
        <w:t xml:space="preserve">or commercially </w:t>
      </w:r>
      <w:r>
        <w:rPr>
          <w:rFonts w:eastAsiaTheme="minorEastAsia" w:cs="Arial"/>
        </w:rPr>
        <w:t xml:space="preserve">(when applicable) </w:t>
      </w:r>
    </w:p>
    <w:p w:rsidR="00C14C69" w:rsidP="00E46806" w14:paraId="69026C26" w14:textId="77777777">
      <w:pPr>
        <w:pStyle w:val="ListParagraph"/>
        <w:tabs>
          <w:tab w:val="left" w:pos="1440"/>
        </w:tabs>
        <w:spacing w:before="120" w:after="120" w:line="276" w:lineRule="auto"/>
        <w:ind w:left="1080"/>
        <w:rPr>
          <w:rFonts w:cs="Arial"/>
          <w:b/>
        </w:rPr>
      </w:pPr>
    </w:p>
    <w:p w:rsidR="001C74A9" w:rsidRPr="005A2D23" w:rsidP="00D62826" w14:paraId="19002714" w14:textId="49955419">
      <w:pPr>
        <w:pStyle w:val="ListParagraph"/>
        <w:numPr>
          <w:ilvl w:val="1"/>
          <w:numId w:val="25"/>
        </w:numPr>
        <w:tabs>
          <w:tab w:val="left" w:pos="1440"/>
        </w:tabs>
        <w:spacing w:before="120" w:after="120" w:line="276" w:lineRule="auto"/>
        <w:rPr>
          <w:rFonts w:cs="Arial"/>
          <w:b/>
        </w:rPr>
      </w:pPr>
      <w:r w:rsidRPr="005A2D23">
        <w:rPr>
          <w:rFonts w:cs="Arial"/>
          <w:b/>
        </w:rPr>
        <w:t>Establishing the TMF</w:t>
      </w:r>
    </w:p>
    <w:p w:rsidR="001C74A9" w:rsidRPr="00EB188B" w:rsidP="00D62826" w14:paraId="1AC8387C" w14:textId="7CC58BFF">
      <w:pPr>
        <w:spacing w:line="276" w:lineRule="auto"/>
        <w:ind w:left="1080"/>
        <w:rPr>
          <w:rFonts w:ascii="Arial" w:hAnsi="Arial" w:eastAsiaTheme="minorEastAsia" w:cs="Arial"/>
          <w:sz w:val="20"/>
        </w:rPr>
      </w:pPr>
      <w:r>
        <w:rPr>
          <w:rFonts w:ascii="Arial" w:hAnsi="Arial" w:eastAsiaTheme="minorEastAsia" w:cs="Arial"/>
          <w:sz w:val="20"/>
        </w:rPr>
        <w:t xml:space="preserve">When a TMF is required it </w:t>
      </w:r>
      <w:r w:rsidRPr="005A2D23" w:rsidR="00D86548">
        <w:rPr>
          <w:rFonts w:ascii="Arial" w:hAnsi="Arial" w:eastAsiaTheme="minorEastAsia" w:cs="Arial"/>
          <w:sz w:val="20"/>
        </w:rPr>
        <w:t xml:space="preserve">is established at the beginning of the research study. A TMF will be in place prior to study activation. A TMF Plan is developed by CTPM </w:t>
      </w:r>
      <w:r>
        <w:rPr>
          <w:rFonts w:ascii="Arial" w:hAnsi="Arial" w:eastAsiaTheme="minorEastAsia" w:cs="Arial"/>
          <w:sz w:val="20"/>
        </w:rPr>
        <w:t xml:space="preserve">team member </w:t>
      </w:r>
      <w:r w:rsidRPr="005A2D23" w:rsidR="00D86548">
        <w:rPr>
          <w:rFonts w:ascii="Arial" w:hAnsi="Arial" w:eastAsiaTheme="minorEastAsia" w:cs="Arial"/>
          <w:sz w:val="20"/>
        </w:rPr>
        <w:t xml:space="preserve">and </w:t>
      </w:r>
      <w:r>
        <w:rPr>
          <w:rFonts w:ascii="Arial" w:hAnsi="Arial" w:eastAsiaTheme="minorEastAsia" w:cs="Arial"/>
          <w:sz w:val="20"/>
        </w:rPr>
        <w:t xml:space="preserve">is </w:t>
      </w:r>
      <w:r w:rsidRPr="005A2D23" w:rsidR="00D86548">
        <w:rPr>
          <w:rFonts w:ascii="Arial" w:hAnsi="Arial" w:eastAsiaTheme="minorEastAsia" w:cs="Arial"/>
          <w:sz w:val="20"/>
        </w:rPr>
        <w:t xml:space="preserve">reviewed and approved by a senior member </w:t>
      </w:r>
      <w:r>
        <w:rPr>
          <w:rFonts w:ascii="Arial" w:hAnsi="Arial" w:eastAsiaTheme="minorEastAsia" w:cs="Arial"/>
          <w:sz w:val="20"/>
        </w:rPr>
        <w:t xml:space="preserve">of the team. The plan is </w:t>
      </w:r>
      <w:r w:rsidRPr="005A2D23" w:rsidR="00D86548">
        <w:rPr>
          <w:rFonts w:ascii="Arial" w:hAnsi="Arial" w:eastAsiaTheme="minorEastAsia" w:cs="Arial"/>
          <w:sz w:val="20"/>
        </w:rPr>
        <w:t xml:space="preserve">filed within the appropriate section of the TMF. Each TMF plan is tailored to meet the needs of the study. The TMF plan will be based on the type of study, the overseeing regulatory body(s), the funding body(s), and all applicable regulations.  If modifications to the TMF plan are required, revisions are reviewed and approved by a senior CTPM team member.  All versions of the TMF plan are filed in the TMF. </w:t>
      </w:r>
    </w:p>
    <w:p w:rsidR="001C74A9" w:rsidRPr="005A2D23" w:rsidP="00EB188B" w14:paraId="0E2B9F1A" w14:textId="77777777">
      <w:pPr>
        <w:pStyle w:val="ListParagraph"/>
        <w:numPr>
          <w:ilvl w:val="1"/>
          <w:numId w:val="25"/>
        </w:numPr>
        <w:tabs>
          <w:tab w:val="left" w:pos="1440"/>
        </w:tabs>
        <w:spacing w:before="120" w:after="120" w:line="276" w:lineRule="auto"/>
        <w:rPr>
          <w:rFonts w:eastAsiaTheme="minorEastAsia" w:cs="Arial"/>
          <w:b/>
        </w:rPr>
      </w:pPr>
      <w:r w:rsidRPr="005A2D23">
        <w:rPr>
          <w:rFonts w:eastAsiaTheme="minorEastAsia" w:cs="Arial"/>
          <w:b/>
        </w:rPr>
        <w:t xml:space="preserve">TMF Access </w:t>
      </w:r>
    </w:p>
    <w:p w:rsidR="001C74A9" w:rsidRPr="005A2D23" w:rsidP="008652F5" w14:paraId="3A8368CF" w14:textId="4198B983">
      <w:pPr>
        <w:tabs>
          <w:tab w:val="left" w:pos="1440"/>
        </w:tabs>
        <w:spacing w:after="240" w:line="276" w:lineRule="auto"/>
        <w:ind w:left="1080"/>
        <w:contextualSpacing/>
        <w:rPr>
          <w:rFonts w:ascii="Arial" w:eastAsia="Arial Narrow" w:hAnsi="Arial" w:cs="Arial"/>
          <w:sz w:val="20"/>
        </w:rPr>
      </w:pPr>
      <w:r w:rsidRPr="005A2D23">
        <w:rPr>
          <w:rFonts w:ascii="Arial" w:hAnsi="Arial" w:eastAsiaTheme="minorEastAsia" w:cs="Arial"/>
          <w:sz w:val="20"/>
        </w:rPr>
        <w:t xml:space="preserve">Access to the TMF is granted only to those personnel required to maintain regulatory compliance. eTMF access is managed centrally by the appropriate system administrator(s). </w:t>
      </w:r>
      <w:r w:rsidRPr="005A2D23">
        <w:rPr>
          <w:rFonts w:ascii="Arial" w:eastAsia="Arial Narrow" w:hAnsi="Arial" w:cs="Arial"/>
          <w:sz w:val="20"/>
        </w:rPr>
        <w:t>Multiple responsible parties contribute documents to the TMF.</w:t>
      </w:r>
    </w:p>
    <w:p w:rsidR="001C74A9" w:rsidRPr="005A2D23" w:rsidP="00EB188B" w14:paraId="5E58A829" w14:textId="77777777">
      <w:pPr>
        <w:pStyle w:val="ListParagraph"/>
        <w:numPr>
          <w:ilvl w:val="1"/>
          <w:numId w:val="25"/>
        </w:numPr>
        <w:tabs>
          <w:tab w:val="left" w:pos="1440"/>
        </w:tabs>
        <w:spacing w:before="120" w:after="120" w:line="276" w:lineRule="auto"/>
        <w:rPr>
          <w:rFonts w:eastAsiaTheme="minorEastAsia" w:cs="Arial"/>
          <w:b/>
        </w:rPr>
      </w:pPr>
      <w:r w:rsidRPr="005A2D23">
        <w:rPr>
          <w:rFonts w:eastAsiaTheme="minorEastAsia" w:cs="Arial"/>
          <w:b/>
        </w:rPr>
        <w:t>Maintaining the TMF</w:t>
      </w:r>
    </w:p>
    <w:p w:rsidR="001C74A9" w:rsidRPr="00EB188B" w:rsidP="00EB188B" w14:paraId="25584A16" w14:textId="32537D4F">
      <w:pPr>
        <w:spacing w:line="276" w:lineRule="auto"/>
        <w:ind w:left="1080"/>
        <w:rPr>
          <w:rFonts w:ascii="Arial" w:hAnsi="Arial" w:eastAsiaTheme="minorEastAsia" w:cs="Arial"/>
          <w:sz w:val="20"/>
        </w:rPr>
      </w:pPr>
      <w:r w:rsidRPr="005A2D23">
        <w:rPr>
          <w:rFonts w:ascii="Arial" w:hAnsi="Arial" w:eastAsiaTheme="minorEastAsia" w:cs="Arial"/>
          <w:sz w:val="20"/>
        </w:rPr>
        <w:t>The TMF is maintained by the CTPM</w:t>
      </w:r>
      <w:r w:rsidR="00872DC1">
        <w:rPr>
          <w:rFonts w:ascii="Arial" w:hAnsi="Arial" w:eastAsiaTheme="minorEastAsia" w:cs="Arial"/>
          <w:sz w:val="20"/>
        </w:rPr>
        <w:t xml:space="preserve"> team</w:t>
      </w:r>
      <w:r w:rsidRPr="005A2D23">
        <w:rPr>
          <w:rFonts w:ascii="Arial" w:hAnsi="Arial" w:eastAsiaTheme="minorEastAsia" w:cs="Arial"/>
          <w:sz w:val="20"/>
        </w:rPr>
        <w:t xml:space="preserve"> throughout the research study. The CTPM</w:t>
      </w:r>
      <w:r w:rsidR="00872DC1">
        <w:rPr>
          <w:rFonts w:ascii="Arial" w:hAnsi="Arial" w:eastAsiaTheme="minorEastAsia" w:cs="Arial"/>
          <w:sz w:val="20"/>
        </w:rPr>
        <w:t xml:space="preserve"> team is responsible for</w:t>
      </w:r>
      <w:r w:rsidRPr="005A2D23">
        <w:rPr>
          <w:rFonts w:ascii="Arial" w:hAnsi="Arial" w:eastAsiaTheme="minorEastAsia" w:cs="Arial"/>
          <w:sz w:val="20"/>
        </w:rPr>
        <w:t xml:space="preserve"> ensur</w:t>
      </w:r>
      <w:r w:rsidR="00872DC1">
        <w:rPr>
          <w:rFonts w:ascii="Arial" w:hAnsi="Arial" w:eastAsiaTheme="minorEastAsia" w:cs="Arial"/>
          <w:sz w:val="20"/>
        </w:rPr>
        <w:t>ing</w:t>
      </w:r>
      <w:r w:rsidRPr="005A2D23">
        <w:rPr>
          <w:rFonts w:ascii="Arial" w:hAnsi="Arial" w:eastAsiaTheme="minorEastAsia" w:cs="Arial"/>
          <w:sz w:val="20"/>
        </w:rPr>
        <w:t xml:space="preserve"> essential documents are current and audit ready. The CTPM</w:t>
      </w:r>
      <w:r w:rsidR="00872DC1">
        <w:rPr>
          <w:rFonts w:ascii="Arial" w:hAnsi="Arial" w:eastAsiaTheme="minorEastAsia" w:cs="Arial"/>
          <w:sz w:val="20"/>
        </w:rPr>
        <w:t xml:space="preserve"> team</w:t>
      </w:r>
      <w:r w:rsidRPr="005A2D23">
        <w:rPr>
          <w:rFonts w:ascii="Arial" w:hAnsi="Arial" w:eastAsiaTheme="minorEastAsia" w:cs="Arial"/>
          <w:sz w:val="20"/>
        </w:rPr>
        <w:t xml:space="preserve"> is responsible for the content of the TMF and performs TMF audits to ensure compliance. CTPM</w:t>
      </w:r>
      <w:r w:rsidR="00872DC1">
        <w:rPr>
          <w:rFonts w:ascii="Arial" w:hAnsi="Arial" w:eastAsiaTheme="minorEastAsia" w:cs="Arial"/>
          <w:sz w:val="20"/>
        </w:rPr>
        <w:t xml:space="preserve"> team members </w:t>
      </w:r>
      <w:r w:rsidRPr="005A2D23">
        <w:rPr>
          <w:rFonts w:ascii="Arial" w:hAnsi="Arial" w:eastAsiaTheme="minorEastAsia" w:cs="Arial"/>
          <w:sz w:val="20"/>
        </w:rPr>
        <w:t xml:space="preserve">work with applicable members of the study team and participating </w:t>
      </w:r>
      <w:r w:rsidRPr="005A2D23">
        <w:rPr>
          <w:rFonts w:ascii="Arial" w:hAnsi="Arial" w:eastAsiaTheme="minorEastAsia" w:cs="Arial"/>
          <w:sz w:val="20"/>
        </w:rPr>
        <w:t>sites</w:t>
      </w:r>
      <w:r w:rsidR="00872DC1">
        <w:rPr>
          <w:rFonts w:ascii="Arial" w:hAnsi="Arial" w:eastAsiaTheme="minorEastAsia" w:cs="Arial"/>
          <w:sz w:val="20"/>
        </w:rPr>
        <w:t>, as applicable,</w:t>
      </w:r>
      <w:r w:rsidRPr="005A2D23">
        <w:rPr>
          <w:rFonts w:ascii="Arial" w:hAnsi="Arial" w:eastAsiaTheme="minorEastAsia" w:cs="Arial"/>
          <w:sz w:val="20"/>
        </w:rPr>
        <w:t xml:space="preserve"> to gather essential documents for the TMF. Missing regulatory files identified during study maintenance that are unable to be remediated will be documented with a study-specific Note to File. The Note to File will include </w:t>
      </w:r>
      <w:r w:rsidRPr="005A2D23">
        <w:rPr>
          <w:rFonts w:ascii="Arial" w:hAnsi="Arial" w:eastAsiaTheme="minorEastAsia" w:cs="Arial"/>
          <w:sz w:val="20"/>
        </w:rPr>
        <w:t>a rationale and will be filed in place of the missing document with any related correspondence.</w:t>
      </w:r>
    </w:p>
    <w:p w:rsidR="001C74A9" w:rsidRPr="005A2D23" w:rsidP="00EB188B" w14:paraId="471F01D6" w14:textId="77777777">
      <w:pPr>
        <w:pStyle w:val="ListParagraph"/>
        <w:numPr>
          <w:ilvl w:val="1"/>
          <w:numId w:val="25"/>
        </w:numPr>
        <w:tabs>
          <w:tab w:val="left" w:pos="1440"/>
        </w:tabs>
        <w:spacing w:before="120" w:after="120" w:line="276" w:lineRule="auto"/>
        <w:rPr>
          <w:rFonts w:eastAsiaTheme="minorEastAsia" w:cs="Arial"/>
          <w:b/>
        </w:rPr>
      </w:pPr>
      <w:r w:rsidRPr="005A2D23">
        <w:rPr>
          <w:rFonts w:eastAsiaTheme="minorEastAsia" w:cs="Arial"/>
          <w:b/>
        </w:rPr>
        <w:t>TMF Close Out</w:t>
      </w:r>
    </w:p>
    <w:p w:rsidR="001C74A9" w:rsidRPr="00EB188B" w:rsidP="00EB188B" w14:paraId="20E3DCDC" w14:textId="17870293">
      <w:pPr>
        <w:spacing w:line="276" w:lineRule="auto"/>
        <w:ind w:left="1080"/>
        <w:rPr>
          <w:rFonts w:ascii="Arial" w:eastAsia="Arial Narrow" w:hAnsi="Arial" w:cs="Arial"/>
          <w:sz w:val="20"/>
        </w:rPr>
      </w:pPr>
      <w:r w:rsidRPr="005A2D23">
        <w:rPr>
          <w:rFonts w:ascii="Arial" w:eastAsia="Arial Narrow" w:hAnsi="Arial" w:cs="Arial"/>
          <w:sz w:val="20"/>
        </w:rPr>
        <w:t xml:space="preserve">The TMF will be closed by CTPM </w:t>
      </w:r>
      <w:r w:rsidR="00872DC1">
        <w:rPr>
          <w:rFonts w:ascii="Arial" w:eastAsia="Arial Narrow" w:hAnsi="Arial" w:cs="Arial"/>
          <w:sz w:val="20"/>
        </w:rPr>
        <w:t xml:space="preserve">team </w:t>
      </w:r>
      <w:r w:rsidRPr="005A2D23">
        <w:rPr>
          <w:rFonts w:ascii="Arial" w:eastAsia="Arial Narrow" w:hAnsi="Arial" w:cs="Arial"/>
          <w:sz w:val="20"/>
        </w:rPr>
        <w:t xml:space="preserve">only after all research procedures and regulatory filing is complete. A Study Close-Out Checklist will be completed and a final TMF audit will be performed.  If essential documents are maintained by a vendor, </w:t>
      </w:r>
      <w:r w:rsidR="00872DC1">
        <w:rPr>
          <w:rFonts w:ascii="Arial" w:eastAsia="Arial Narrow" w:hAnsi="Arial" w:cs="Arial"/>
          <w:sz w:val="20"/>
        </w:rPr>
        <w:t>they</w:t>
      </w:r>
      <w:r w:rsidRPr="005A2D23">
        <w:rPr>
          <w:rFonts w:ascii="Arial" w:eastAsia="Arial Narrow" w:hAnsi="Arial" w:cs="Arial"/>
          <w:sz w:val="20"/>
        </w:rPr>
        <w:t xml:space="preserve"> will be retrieved and filed appropriately before the TMF is closed. Missing regulatory files identified during study close-out </w:t>
      </w:r>
      <w:r w:rsidRPr="005A2D23">
        <w:rPr>
          <w:rFonts w:ascii="Arial" w:hAnsi="Arial" w:eastAsiaTheme="minorEastAsia" w:cs="Arial"/>
          <w:sz w:val="20"/>
        </w:rPr>
        <w:t xml:space="preserve">that are unable to be remediated </w:t>
      </w:r>
      <w:r w:rsidRPr="005A2D23">
        <w:rPr>
          <w:rFonts w:ascii="Arial" w:eastAsia="Arial Narrow" w:hAnsi="Arial" w:cs="Arial"/>
          <w:sz w:val="20"/>
        </w:rPr>
        <w:t>will be documented with a study-specific Note to File. The Note to File will include a rationale and be filed in place of the missing</w:t>
      </w:r>
      <w:r w:rsidRPr="005A2D23">
        <w:rPr>
          <w:rFonts w:ascii="Arial" w:eastAsia="Arial Narrow" w:hAnsi="Arial" w:cs="Arial"/>
          <w:sz w:val="20"/>
        </w:rPr>
        <w:t xml:space="preserve"> document </w:t>
      </w:r>
      <w:r w:rsidRPr="005A2D23">
        <w:rPr>
          <w:rFonts w:ascii="Arial" w:hAnsi="Arial" w:eastAsiaTheme="minorEastAsia" w:cs="Arial"/>
          <w:sz w:val="20"/>
        </w:rPr>
        <w:t>with any related correspondence</w:t>
      </w:r>
      <w:r w:rsidRPr="005A2D23">
        <w:rPr>
          <w:rFonts w:ascii="Arial" w:eastAsia="Arial Narrow" w:hAnsi="Arial" w:cs="Arial"/>
          <w:sz w:val="20"/>
        </w:rPr>
        <w:t>.</w:t>
      </w:r>
    </w:p>
    <w:p w:rsidR="001C74A9" w:rsidRPr="005A2D23" w:rsidP="006B39E0" w14:paraId="609CBA8A" w14:textId="77777777">
      <w:pPr>
        <w:pStyle w:val="ListParagraph"/>
        <w:keepNext/>
        <w:numPr>
          <w:ilvl w:val="1"/>
          <w:numId w:val="25"/>
        </w:numPr>
        <w:tabs>
          <w:tab w:val="left" w:pos="1440"/>
        </w:tabs>
        <w:spacing w:before="120" w:after="120" w:line="276" w:lineRule="auto"/>
        <w:rPr>
          <w:rFonts w:eastAsiaTheme="minorEastAsia" w:cs="Arial"/>
          <w:b/>
        </w:rPr>
      </w:pPr>
      <w:r w:rsidRPr="005A2D23">
        <w:rPr>
          <w:rFonts w:eastAsiaTheme="minorEastAsia" w:cs="Arial"/>
          <w:b/>
        </w:rPr>
        <w:t>Retention of the TMF</w:t>
      </w:r>
    </w:p>
    <w:p w:rsidR="001C74A9" w:rsidRPr="006B39E0" w:rsidP="006B39E0" w14:paraId="46A7B8AE" w14:textId="33587189">
      <w:pPr>
        <w:tabs>
          <w:tab w:val="left" w:pos="990"/>
        </w:tabs>
        <w:spacing w:line="276" w:lineRule="auto"/>
        <w:ind w:left="1080"/>
        <w:rPr>
          <w:rFonts w:ascii="Arial" w:hAnsi="Arial" w:eastAsiaTheme="minorEastAsia" w:cs="Arial"/>
          <w:sz w:val="20"/>
        </w:rPr>
      </w:pPr>
      <w:r w:rsidRPr="005A2D23">
        <w:rPr>
          <w:rFonts w:ascii="Arial" w:hAnsi="Arial" w:eastAsiaTheme="minorEastAsia" w:cs="Arial"/>
          <w:sz w:val="20"/>
        </w:rPr>
        <w:t xml:space="preserve">The TMF will be retrievable and accessible for the length of time required by the regulations applicable to the study and contractual obligations, when applicable. The TMF will be retained in a secure location with restricted access during this period.   </w:t>
      </w:r>
    </w:p>
    <w:p w:rsidR="001C74A9" w:rsidRPr="005A2D23" w:rsidP="00EB188B" w14:paraId="2B64CFD7" w14:textId="77777777">
      <w:pPr>
        <w:pStyle w:val="ListParagraph"/>
        <w:keepNext/>
        <w:numPr>
          <w:ilvl w:val="1"/>
          <w:numId w:val="25"/>
        </w:numPr>
        <w:tabs>
          <w:tab w:val="left" w:pos="1440"/>
        </w:tabs>
        <w:spacing w:before="120" w:after="120" w:line="276" w:lineRule="auto"/>
        <w:rPr>
          <w:rFonts w:eastAsiaTheme="minorEastAsia" w:cs="Arial"/>
          <w:b/>
        </w:rPr>
      </w:pPr>
      <w:r w:rsidRPr="005A2D23">
        <w:rPr>
          <w:rFonts w:eastAsiaTheme="minorEastAsia" w:cs="Arial"/>
          <w:b/>
        </w:rPr>
        <w:t>Transfer of the TMF</w:t>
      </w:r>
    </w:p>
    <w:p w:rsidR="001C74A9" w:rsidRPr="005A2D23" w:rsidP="00EB188B" w14:paraId="1ABC6D57" w14:textId="64ABDB0D">
      <w:pPr>
        <w:spacing w:line="276" w:lineRule="auto"/>
        <w:ind w:left="1080"/>
        <w:rPr>
          <w:rFonts w:ascii="Arial" w:hAnsi="Arial" w:eastAsiaTheme="minorEastAsia" w:cs="Arial"/>
          <w:sz w:val="20"/>
        </w:rPr>
      </w:pPr>
      <w:r w:rsidRPr="005A2D23">
        <w:rPr>
          <w:rFonts w:ascii="Arial" w:hAnsi="Arial" w:eastAsiaTheme="minorEastAsia" w:cs="Arial"/>
          <w:sz w:val="20"/>
        </w:rPr>
        <w:t xml:space="preserve">If a study requires TMF transfer to another organization at any point, a transfer plan will be established, approved, and documented, by all applicable parties.  The transfer plan will include the timing of the TMF transfer and the acceptable TMF format. </w:t>
      </w:r>
    </w:p>
    <w:p w:rsidR="001C74A9" w:rsidRPr="005A2D23" w:rsidP="00EB188B" w14:paraId="49BB5A0D" w14:textId="77777777">
      <w:pPr>
        <w:pStyle w:val="ListParagraph"/>
        <w:numPr>
          <w:ilvl w:val="1"/>
          <w:numId w:val="25"/>
        </w:numPr>
        <w:tabs>
          <w:tab w:val="left" w:pos="1440"/>
        </w:tabs>
        <w:spacing w:before="120" w:after="120" w:line="276" w:lineRule="auto"/>
        <w:rPr>
          <w:rFonts w:eastAsiaTheme="minorEastAsia" w:cs="Arial"/>
          <w:b/>
        </w:rPr>
      </w:pPr>
      <w:r w:rsidRPr="005A2D23">
        <w:rPr>
          <w:rFonts w:eastAsiaTheme="minorEastAsia" w:cs="Arial"/>
          <w:b/>
        </w:rPr>
        <w:t>TMF Inspection</w:t>
      </w:r>
    </w:p>
    <w:p w:rsidR="001C74A9" w:rsidRPr="005A2D23" w:rsidP="00EB188B" w14:paraId="337A8E73" w14:textId="3256BF53">
      <w:pPr>
        <w:tabs>
          <w:tab w:val="left" w:pos="1170"/>
        </w:tabs>
        <w:spacing w:after="240" w:line="276" w:lineRule="auto"/>
        <w:ind w:left="1080"/>
        <w:rPr>
          <w:rFonts w:ascii="Arial" w:eastAsia="Arial Narrow" w:hAnsi="Arial" w:cs="Arial"/>
          <w:sz w:val="20"/>
        </w:rPr>
      </w:pPr>
      <w:r w:rsidRPr="005A2D23">
        <w:rPr>
          <w:rFonts w:ascii="Arial" w:eastAsia="Arial Narrow" w:hAnsi="Arial" w:cs="Arial"/>
          <w:sz w:val="20"/>
        </w:rPr>
        <w:t xml:space="preserve">The TMF is subject to regulatory review. In the event of a regulatory audit/inspection, responsible parties will be notified in writing as soon as the inspection has been announced. This includes, but is not limited to, members of the study team, funding agencies, regulatory authorities, </w:t>
      </w:r>
      <w:r>
        <w:rPr>
          <w:rFonts w:ascii="Arial" w:eastAsia="Arial Narrow" w:hAnsi="Arial" w:cs="Arial"/>
          <w:sz w:val="20"/>
        </w:rPr>
        <w:t>service providers</w:t>
      </w:r>
      <w:r w:rsidRPr="005A2D23">
        <w:rPr>
          <w:rFonts w:ascii="Arial" w:eastAsia="Arial Narrow" w:hAnsi="Arial" w:cs="Arial"/>
          <w:sz w:val="20"/>
        </w:rPr>
        <w:t xml:space="preserve">, manufacturers, and others as required by clinical trial agreements. If some, or all, of the essential </w:t>
      </w:r>
      <w:r>
        <w:rPr>
          <w:rFonts w:ascii="Arial" w:eastAsia="Arial Narrow" w:hAnsi="Arial" w:cs="Arial"/>
          <w:sz w:val="20"/>
        </w:rPr>
        <w:t>records</w:t>
      </w:r>
      <w:r w:rsidRPr="005A2D23">
        <w:rPr>
          <w:rFonts w:ascii="Arial" w:eastAsia="Arial Narrow" w:hAnsi="Arial" w:cs="Arial"/>
          <w:sz w:val="20"/>
        </w:rPr>
        <w:t xml:space="preserve"> are maintained by a </w:t>
      </w:r>
      <w:r>
        <w:rPr>
          <w:rFonts w:ascii="Arial" w:eastAsia="Arial Narrow" w:hAnsi="Arial" w:cs="Arial"/>
          <w:sz w:val="20"/>
        </w:rPr>
        <w:t>service provider</w:t>
      </w:r>
      <w:r w:rsidRPr="005A2D23">
        <w:rPr>
          <w:rFonts w:ascii="Arial" w:eastAsia="Arial Narrow" w:hAnsi="Arial" w:cs="Arial"/>
          <w:sz w:val="20"/>
        </w:rPr>
        <w:t xml:space="preserve">, these documents will be retrieved in advance of the audit. Direct access to the TMF will be permitted as required to the content needed to perform the audit. For eTMF, this includes providing the inspectors with suitable equipment and brief training. </w:t>
      </w:r>
    </w:p>
    <w:p w:rsidR="00A36328" w:rsidP="00A36328" w14:paraId="161D1B0A" w14:textId="77777777">
      <w:pPr>
        <w:pStyle w:val="ListParagraph"/>
        <w:numPr>
          <w:ilvl w:val="1"/>
          <w:numId w:val="25"/>
        </w:numPr>
        <w:tabs>
          <w:tab w:val="left" w:pos="1440"/>
        </w:tabs>
        <w:spacing w:before="120" w:after="120" w:line="276" w:lineRule="auto"/>
        <w:contextualSpacing w:val="0"/>
        <w:rPr>
          <w:rFonts w:cs="Arial"/>
          <w:b/>
          <w:color w:val="000000"/>
        </w:rPr>
      </w:pPr>
      <w:r w:rsidRPr="005A2D23">
        <w:rPr>
          <w:rFonts w:cs="Arial"/>
          <w:b/>
          <w:color w:val="000000"/>
        </w:rPr>
        <w:t xml:space="preserve"> Training</w:t>
      </w:r>
    </w:p>
    <w:p w:rsidR="00A36328" w:rsidRPr="00A36328" w:rsidP="00A36328" w14:paraId="12633E1E" w14:textId="5DFB8B55">
      <w:pPr>
        <w:pStyle w:val="ListParagraph"/>
        <w:tabs>
          <w:tab w:val="left" w:pos="1440"/>
        </w:tabs>
        <w:spacing w:before="120" w:after="120" w:line="276" w:lineRule="auto"/>
        <w:ind w:left="1170"/>
        <w:rPr>
          <w:rFonts w:cs="Arial"/>
          <w:b/>
          <w:color w:val="000000"/>
        </w:rPr>
      </w:pPr>
      <w:r w:rsidRPr="00A36328">
        <w:rPr>
          <w:bCs/>
        </w:rPr>
        <w:t>All responsible personnel listed within this SOP will receive training appropriate to their role and level of responsibility.</w:t>
      </w:r>
    </w:p>
    <w:p w:rsidR="00C16AF5" w:rsidRPr="007C229B" w:rsidP="009A31B0" w14:paraId="4D8273BE" w14:textId="77777777">
      <w:pPr>
        <w:keepNext/>
        <w:numPr>
          <w:ilvl w:val="0"/>
          <w:numId w:val="25"/>
        </w:numPr>
        <w:pBdr>
          <w:top w:val="nil"/>
          <w:left w:val="nil"/>
          <w:bottom w:val="nil"/>
          <w:right w:val="nil"/>
          <w:between w:val="nil"/>
        </w:pBdr>
        <w:spacing w:before="240" w:after="240" w:line="276" w:lineRule="auto"/>
        <w:ind w:left="720" w:hanging="634"/>
        <w:rPr>
          <w:rFonts w:ascii="Arial" w:hAnsi="Arial" w:cs="Arial"/>
          <w:b/>
          <w:bCs/>
          <w:color w:val="365F91" w:themeColor="accent1" w:themeShade="BF"/>
          <w:sz w:val="28"/>
          <w:szCs w:val="28"/>
        </w:rPr>
      </w:pPr>
      <w:r w:rsidRPr="007C229B">
        <w:rPr>
          <w:rFonts w:ascii="Arial" w:hAnsi="Arial" w:cs="Arial"/>
          <w:b/>
          <w:bCs/>
          <w:color w:val="365F91" w:themeColor="accent1" w:themeShade="BF"/>
          <w:sz w:val="28"/>
          <w:szCs w:val="28"/>
        </w:rPr>
        <w:t>Roles and Responsibilities</w:t>
      </w:r>
    </w:p>
    <w:p w:rsidR="00B8326E" w:rsidRPr="0056516C" w:rsidP="00E46806" w14:paraId="0A0F5451" w14:textId="7D01447B">
      <w:pPr>
        <w:pStyle w:val="BodyText"/>
        <w:numPr>
          <w:ilvl w:val="0"/>
          <w:numId w:val="26"/>
        </w:numPr>
        <w:spacing w:before="240" w:after="120" w:line="276" w:lineRule="auto"/>
        <w:ind w:left="1080"/>
        <w:contextualSpacing/>
        <w:rPr>
          <w:rFonts w:cs="Arial"/>
        </w:rPr>
      </w:pPr>
      <w:r w:rsidRPr="00E46806">
        <w:rPr>
          <w:color w:val="000000"/>
        </w:rPr>
        <w:t xml:space="preserve">Sponsor(-Investigator): The Sponsor, whether or not also an Investigator, is ultimately accountable for </w:t>
      </w:r>
      <w:r w:rsidR="00B16040">
        <w:rPr>
          <w:color w:val="000000"/>
        </w:rPr>
        <w:t>the</w:t>
      </w:r>
      <w:r w:rsidRPr="00E46806">
        <w:rPr>
          <w:color w:val="000000"/>
        </w:rPr>
        <w:t xml:space="preserve"> oversight of all P</w:t>
      </w:r>
      <w:r>
        <w:rPr>
          <w:color w:val="000000"/>
        </w:rPr>
        <w:t>rincipal Investigators (PI</w:t>
      </w:r>
      <w:r w:rsidRPr="00E46806">
        <w:rPr>
          <w:color w:val="000000"/>
        </w:rPr>
        <w:t>s</w:t>
      </w:r>
      <w:r>
        <w:rPr>
          <w:color w:val="000000"/>
        </w:rPr>
        <w:t>)</w:t>
      </w:r>
      <w:r w:rsidRPr="00E46806">
        <w:rPr>
          <w:color w:val="000000"/>
        </w:rPr>
        <w:t xml:space="preserve"> selected to conduct clinical research. The Sponsor(-Investigator) ensures that a project is carried out in compliance with </w:t>
      </w:r>
      <w:r w:rsidR="0056516C">
        <w:rPr>
          <w:color w:val="000000"/>
        </w:rPr>
        <w:t>Good Manufacturing Practice (</w:t>
      </w:r>
      <w:r w:rsidRPr="00E46806">
        <w:rPr>
          <w:color w:val="000000"/>
        </w:rPr>
        <w:t>GMP</w:t>
      </w:r>
      <w:r w:rsidR="0056516C">
        <w:rPr>
          <w:color w:val="000000"/>
        </w:rPr>
        <w:t>)</w:t>
      </w:r>
      <w:r w:rsidRPr="00E46806">
        <w:rPr>
          <w:color w:val="000000"/>
        </w:rPr>
        <w:t xml:space="preserve">, </w:t>
      </w:r>
      <w:r w:rsidR="0056516C">
        <w:rPr>
          <w:color w:val="000000"/>
        </w:rPr>
        <w:t>Good Laboratory Practice (</w:t>
      </w:r>
      <w:r w:rsidRPr="00E46806">
        <w:rPr>
          <w:color w:val="000000"/>
        </w:rPr>
        <w:t>GLP</w:t>
      </w:r>
      <w:r w:rsidR="0056516C">
        <w:rPr>
          <w:color w:val="000000"/>
        </w:rPr>
        <w:t>)</w:t>
      </w:r>
      <w:r w:rsidRPr="00E46806">
        <w:rPr>
          <w:color w:val="000000"/>
        </w:rPr>
        <w:t xml:space="preserve">, </w:t>
      </w:r>
      <w:r w:rsidR="0056516C">
        <w:rPr>
          <w:color w:val="000000"/>
        </w:rPr>
        <w:t>Good Clinical Practice (</w:t>
      </w:r>
      <w:r w:rsidRPr="00E46806">
        <w:rPr>
          <w:color w:val="000000"/>
        </w:rPr>
        <w:t>GCP</w:t>
      </w:r>
      <w:r w:rsidR="0056516C">
        <w:rPr>
          <w:color w:val="000000"/>
        </w:rPr>
        <w:t>)</w:t>
      </w:r>
      <w:r w:rsidRPr="00E46806">
        <w:rPr>
          <w:color w:val="000000"/>
        </w:rPr>
        <w:t>, applicable Yale policies, and applicable governing regulations.</w:t>
      </w:r>
    </w:p>
    <w:p w:rsidR="00C16AF5" w:rsidP="00DC2DDC" w14:paraId="652B170D" w14:textId="58DAFC5B">
      <w:pPr>
        <w:pStyle w:val="BodyText"/>
        <w:spacing w:before="240" w:after="120" w:line="276" w:lineRule="auto"/>
        <w:ind w:left="1080"/>
        <w:contextualSpacing/>
        <w:rPr>
          <w:rFonts w:cs="Arial"/>
        </w:rPr>
      </w:pPr>
    </w:p>
    <w:p w:rsidR="00FF143F" w:rsidRPr="00C16AF5" w:rsidP="00C16AF5" w14:paraId="480F1DA9" w14:textId="3EE52B26">
      <w:pPr>
        <w:pStyle w:val="BodyText"/>
        <w:numPr>
          <w:ilvl w:val="0"/>
          <w:numId w:val="26"/>
        </w:numPr>
        <w:spacing w:before="240" w:after="120" w:line="276" w:lineRule="auto"/>
        <w:ind w:left="1080"/>
        <w:contextualSpacing/>
        <w:rPr>
          <w:rFonts w:cs="Arial"/>
        </w:rPr>
      </w:pPr>
      <w:r>
        <w:rPr>
          <w:rFonts w:cs="Arial"/>
        </w:rPr>
        <w:t>The following study personnel may be delegated study tasks with documentation of appropriate training and experience:</w:t>
      </w:r>
    </w:p>
    <w:p w:rsidR="00AE012E" w:rsidP="00C16AF5" w14:paraId="6505AEA7" w14:textId="54F746B5">
      <w:pPr>
        <w:pStyle w:val="ListParagraph"/>
        <w:numPr>
          <w:ilvl w:val="0"/>
          <w:numId w:val="27"/>
        </w:numPr>
        <w:spacing w:line="276" w:lineRule="auto"/>
        <w:rPr>
          <w:rFonts w:eastAsiaTheme="minorEastAsia" w:cs="Arial"/>
        </w:rPr>
      </w:pPr>
      <w:r>
        <w:rPr>
          <w:rFonts w:eastAsiaTheme="minorEastAsia" w:cs="Arial"/>
        </w:rPr>
        <w:t>Associate Director</w:t>
      </w:r>
    </w:p>
    <w:p w:rsidR="00FF143F" w:rsidRPr="00C16AF5" w:rsidP="00C16AF5" w14:paraId="06F1B2A4" w14:textId="6F9C94CF">
      <w:pPr>
        <w:pStyle w:val="ListParagraph"/>
        <w:numPr>
          <w:ilvl w:val="0"/>
          <w:numId w:val="27"/>
        </w:numPr>
        <w:spacing w:line="276" w:lineRule="auto"/>
        <w:rPr>
          <w:rFonts w:eastAsiaTheme="minorEastAsia" w:cs="Arial"/>
        </w:rPr>
      </w:pPr>
      <w:r>
        <w:rPr>
          <w:rFonts w:eastAsiaTheme="minorEastAsia" w:cs="Arial"/>
        </w:rPr>
        <w:t>Project</w:t>
      </w:r>
      <w:r w:rsidR="002D2AF1">
        <w:rPr>
          <w:rFonts w:eastAsiaTheme="minorEastAsia" w:cs="Arial"/>
        </w:rPr>
        <w:t xml:space="preserve"> Manager</w:t>
      </w:r>
    </w:p>
    <w:p w:rsidR="00A66269" w:rsidRPr="007C229B" w:rsidP="001E034F" w14:paraId="76A8BAA0" w14:textId="77777777">
      <w:pPr>
        <w:keepNext/>
        <w:numPr>
          <w:ilvl w:val="0"/>
          <w:numId w:val="25"/>
        </w:numPr>
        <w:pBdr>
          <w:top w:val="nil"/>
          <w:left w:val="nil"/>
          <w:bottom w:val="nil"/>
          <w:right w:val="nil"/>
          <w:between w:val="nil"/>
        </w:pBdr>
        <w:spacing w:before="240" w:after="240" w:line="276" w:lineRule="auto"/>
        <w:ind w:left="720" w:hanging="634"/>
        <w:rPr>
          <w:rFonts w:ascii="Arial" w:hAnsi="Arial" w:cs="Arial"/>
          <w:b/>
          <w:bCs/>
          <w:color w:val="365F91" w:themeColor="accent1" w:themeShade="BF"/>
          <w:sz w:val="28"/>
          <w:szCs w:val="28"/>
        </w:rPr>
      </w:pPr>
      <w:r w:rsidRPr="007C229B">
        <w:rPr>
          <w:rFonts w:ascii="Arial" w:hAnsi="Arial" w:cs="Arial"/>
          <w:b/>
          <w:bCs/>
          <w:color w:val="365F91" w:themeColor="accent1" w:themeShade="BF"/>
          <w:sz w:val="28"/>
          <w:szCs w:val="28"/>
        </w:rPr>
        <w:t xml:space="preserve">Contact Information </w:t>
      </w:r>
    </w:p>
    <w:p w:rsidR="00A66269" w:rsidP="00A66269" w14:paraId="420C76AC" w14:textId="77777777">
      <w:pPr>
        <w:pStyle w:val="BodyText"/>
        <w:ind w:left="720"/>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A66269" w:rsidRPr="007C229B" w:rsidP="001E034F" w14:paraId="733189B6" w14:textId="77777777">
      <w:pPr>
        <w:keepNext/>
        <w:numPr>
          <w:ilvl w:val="0"/>
          <w:numId w:val="25"/>
        </w:numPr>
        <w:pBdr>
          <w:top w:val="nil"/>
          <w:left w:val="nil"/>
          <w:bottom w:val="nil"/>
          <w:right w:val="nil"/>
          <w:between w:val="nil"/>
        </w:pBdr>
        <w:spacing w:before="240" w:after="240" w:line="276" w:lineRule="auto"/>
        <w:ind w:left="720" w:hanging="634"/>
        <w:rPr>
          <w:rFonts w:ascii="Arial" w:hAnsi="Arial" w:cs="Arial"/>
          <w:b/>
          <w:bCs/>
          <w:color w:val="365F91" w:themeColor="accent1" w:themeShade="BF"/>
          <w:sz w:val="28"/>
          <w:szCs w:val="28"/>
        </w:rPr>
      </w:pPr>
      <w:r w:rsidRPr="007C229B">
        <w:rPr>
          <w:rFonts w:ascii="Arial" w:hAnsi="Arial" w:cs="Arial"/>
          <w:b/>
          <w:bCs/>
          <w:color w:val="365F91" w:themeColor="accent1" w:themeShade="BF"/>
          <w:sz w:val="28"/>
          <w:szCs w:val="28"/>
        </w:rPr>
        <w:t>Related Information</w:t>
      </w:r>
    </w:p>
    <w:p w:rsidR="00A54392" w:rsidP="00D86548" w14:paraId="61287E6E" w14:textId="3C3A6879">
      <w:pPr>
        <w:pStyle w:val="SectionHeading"/>
        <w:spacing w:after="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BB7518" w:rsidP="00D86548" w14:paraId="76CF41CC" w14:textId="77777777">
      <w:pPr>
        <w:pStyle w:val="ListParagraph"/>
        <w:keepNext/>
        <w:numPr>
          <w:ilvl w:val="1"/>
          <w:numId w:val="25"/>
        </w:numPr>
        <w:spacing w:before="120" w:after="120" w:line="276" w:lineRule="auto"/>
        <w:contextualSpacing w:val="0"/>
        <w:outlineLvl w:val="0"/>
        <w:rPr>
          <w:rFonts w:eastAsiaTheme="majorEastAsia" w:cstheme="majorBidi"/>
          <w:b/>
          <w:szCs w:val="16"/>
        </w:rPr>
      </w:pPr>
      <w:r w:rsidRPr="00811B8B">
        <w:rPr>
          <w:rFonts w:eastAsiaTheme="majorEastAsia" w:cstheme="majorBidi"/>
          <w:b/>
          <w:szCs w:val="16"/>
        </w:rPr>
        <w:t>Code of Federal Regulations</w:t>
      </w:r>
    </w:p>
    <w:p w:rsidR="00BB7518" w:rsidRPr="00BB7518" w:rsidP="00BB7518" w14:paraId="24293F0F" w14:textId="77777777">
      <w:pPr>
        <w:pStyle w:val="ListParagraph"/>
        <w:keepNext/>
        <w:numPr>
          <w:ilvl w:val="0"/>
          <w:numId w:val="31"/>
        </w:numPr>
        <w:spacing w:line="276" w:lineRule="auto"/>
        <w:ind w:left="1440"/>
        <w:outlineLvl w:val="0"/>
        <w:rPr>
          <w:rFonts w:eastAsiaTheme="majorEastAsia" w:cstheme="majorBidi"/>
          <w:b/>
          <w:szCs w:val="16"/>
        </w:rPr>
      </w:pPr>
      <w:r w:rsidRPr="00BB7518">
        <w:rPr>
          <w:rFonts w:eastAsiaTheme="minorEastAsia" w:cs="Arial"/>
        </w:rPr>
        <w:t>21 CFR 312 – Investigational New Drugs – Drugs for Human Use</w:t>
      </w:r>
    </w:p>
    <w:p w:rsidR="00BB7518" w:rsidRPr="00BB7518" w:rsidP="00BB7518" w14:paraId="348AC351" w14:textId="77777777">
      <w:pPr>
        <w:pStyle w:val="ListParagraph"/>
        <w:keepNext/>
        <w:numPr>
          <w:ilvl w:val="0"/>
          <w:numId w:val="31"/>
        </w:numPr>
        <w:spacing w:line="276" w:lineRule="auto"/>
        <w:ind w:left="1440"/>
        <w:outlineLvl w:val="0"/>
        <w:rPr>
          <w:rFonts w:eastAsiaTheme="majorEastAsia" w:cstheme="majorBidi"/>
          <w:b/>
          <w:szCs w:val="16"/>
        </w:rPr>
      </w:pPr>
      <w:r w:rsidRPr="00BB7518">
        <w:rPr>
          <w:rFonts w:eastAsiaTheme="minorEastAsia" w:cs="Arial"/>
        </w:rPr>
        <w:t>21 CFR 812 - Investigational Device Exemptions</w:t>
      </w:r>
    </w:p>
    <w:p w:rsidR="00A505C7" w:rsidRPr="00A505C7" w:rsidP="00A505C7" w14:paraId="2019F555" w14:textId="77777777">
      <w:pPr>
        <w:pStyle w:val="ListParagraph"/>
        <w:keepNext/>
        <w:numPr>
          <w:ilvl w:val="0"/>
          <w:numId w:val="31"/>
        </w:numPr>
        <w:spacing w:line="276" w:lineRule="auto"/>
        <w:ind w:left="1440"/>
        <w:outlineLvl w:val="0"/>
        <w:rPr>
          <w:rFonts w:eastAsiaTheme="majorEastAsia" w:cstheme="majorBidi"/>
          <w:b/>
          <w:szCs w:val="16"/>
        </w:rPr>
      </w:pPr>
      <w:r w:rsidRPr="00BB7518">
        <w:rPr>
          <w:rFonts w:eastAsiaTheme="minorEastAsia" w:cs="Arial"/>
        </w:rPr>
        <w:t>21 CFR 50 – Protection of Human Research Subjects</w:t>
      </w:r>
    </w:p>
    <w:p w:rsidR="00F14FB4" w:rsidRPr="00F14FB4" w:rsidP="00702C8F" w14:paraId="604A1C3D" w14:textId="77777777">
      <w:pPr>
        <w:pStyle w:val="ListParagraph"/>
        <w:keepNext/>
        <w:numPr>
          <w:ilvl w:val="1"/>
          <w:numId w:val="25"/>
        </w:numPr>
        <w:spacing w:before="120" w:after="120" w:line="276" w:lineRule="auto"/>
        <w:contextualSpacing w:val="0"/>
        <w:outlineLvl w:val="0"/>
        <w:rPr>
          <w:rFonts w:eastAsiaTheme="majorEastAsia" w:cstheme="majorBidi"/>
          <w:b/>
          <w:szCs w:val="16"/>
        </w:rPr>
      </w:pPr>
      <w:r w:rsidRPr="00F14FB4">
        <w:rPr>
          <w:rFonts w:eastAsiaTheme="minorEastAsia" w:cs="Arial"/>
          <w:b/>
          <w:bCs/>
        </w:rPr>
        <w:t>International Conference on Harmonisation</w:t>
      </w:r>
    </w:p>
    <w:p w:rsidR="00A505C7" w:rsidRPr="00A505C7" w:rsidP="000E16C4" w14:paraId="54DBA83E" w14:textId="69042D48">
      <w:pPr>
        <w:pStyle w:val="ListParagraph"/>
        <w:keepNext/>
        <w:numPr>
          <w:ilvl w:val="2"/>
          <w:numId w:val="25"/>
        </w:numPr>
        <w:spacing w:line="276" w:lineRule="auto"/>
        <w:ind w:left="1440"/>
        <w:contextualSpacing w:val="0"/>
        <w:outlineLvl w:val="0"/>
        <w:rPr>
          <w:rFonts w:eastAsiaTheme="majorEastAsia" w:cstheme="majorBidi"/>
          <w:b/>
          <w:szCs w:val="16"/>
        </w:rPr>
      </w:pPr>
      <w:r w:rsidRPr="00A505C7">
        <w:rPr>
          <w:rFonts w:eastAsiaTheme="minorEastAsia" w:cs="Arial"/>
        </w:rPr>
        <w:t>E6FDA Industry Guidelines &amp; Information Sheets</w:t>
      </w:r>
    </w:p>
    <w:p w:rsidR="00FA5919" w:rsidRPr="00FA5919" w:rsidP="00F14FB4" w14:paraId="2363C0B3" w14:textId="77777777">
      <w:pPr>
        <w:pStyle w:val="ListParagraph"/>
        <w:keepNext/>
        <w:numPr>
          <w:ilvl w:val="1"/>
          <w:numId w:val="25"/>
        </w:numPr>
        <w:spacing w:before="120" w:after="120" w:line="276" w:lineRule="auto"/>
        <w:contextualSpacing w:val="0"/>
        <w:outlineLvl w:val="0"/>
        <w:rPr>
          <w:rFonts w:eastAsiaTheme="majorEastAsia" w:cstheme="majorBidi"/>
          <w:b/>
          <w:szCs w:val="16"/>
        </w:rPr>
      </w:pPr>
      <w:r w:rsidRPr="000E16C4">
        <w:rPr>
          <w:rFonts w:eastAsiaTheme="minorEastAsia" w:cs="Arial"/>
          <w:b/>
          <w:bCs/>
        </w:rPr>
        <w:t>FDA Compliance Policy Guidance Program</w:t>
      </w:r>
      <w:r>
        <w:rPr>
          <w:rFonts w:eastAsiaTheme="minorEastAsia" w:cs="Arial"/>
          <w:b/>
          <w:bCs/>
        </w:rPr>
        <w:t>s</w:t>
      </w:r>
    </w:p>
    <w:p w:rsidR="00A505C7" w:rsidRPr="00A505C7" w:rsidP="00FA5919" w14:paraId="2072EC0F" w14:textId="0933CD9D">
      <w:pPr>
        <w:pStyle w:val="ListParagraph"/>
        <w:keepNext/>
        <w:numPr>
          <w:ilvl w:val="2"/>
          <w:numId w:val="25"/>
        </w:numPr>
        <w:spacing w:before="120" w:after="120" w:line="276" w:lineRule="auto"/>
        <w:ind w:left="1440"/>
        <w:contextualSpacing w:val="0"/>
        <w:outlineLvl w:val="0"/>
        <w:rPr>
          <w:rFonts w:eastAsiaTheme="majorEastAsia" w:cstheme="majorBidi"/>
          <w:b/>
          <w:szCs w:val="16"/>
        </w:rPr>
      </w:pPr>
      <w:r w:rsidRPr="00A505C7">
        <w:rPr>
          <w:rFonts w:eastAsiaTheme="minorEastAsia" w:cs="Arial"/>
        </w:rPr>
        <w:t>7348.809, 7348.810 &amp; 7348.811</w:t>
      </w:r>
    </w:p>
    <w:p w:rsidR="000E16C4" w:rsidRPr="000E16C4" w:rsidP="00702C8F" w14:paraId="6B631BED" w14:textId="77777777">
      <w:pPr>
        <w:pStyle w:val="ListParagraph"/>
        <w:keepNext/>
        <w:numPr>
          <w:ilvl w:val="1"/>
          <w:numId w:val="25"/>
        </w:numPr>
        <w:spacing w:before="120" w:after="120" w:line="276" w:lineRule="auto"/>
        <w:contextualSpacing w:val="0"/>
        <w:outlineLvl w:val="0"/>
        <w:rPr>
          <w:rFonts w:eastAsiaTheme="majorEastAsia" w:cstheme="majorBidi"/>
          <w:b/>
          <w:bCs/>
          <w:szCs w:val="16"/>
        </w:rPr>
      </w:pPr>
      <w:r w:rsidRPr="000E16C4">
        <w:rPr>
          <w:rFonts w:eastAsiaTheme="minorEastAsia" w:cs="Arial"/>
          <w:b/>
          <w:bCs/>
        </w:rPr>
        <w:t>Clinical Data Safety Management</w:t>
      </w:r>
    </w:p>
    <w:p w:rsidR="00A54392" w:rsidRPr="00A505C7" w:rsidP="000E16C4" w14:paraId="017E5F6A" w14:textId="6BF68542">
      <w:pPr>
        <w:pStyle w:val="ListParagraph"/>
        <w:keepNext/>
        <w:numPr>
          <w:ilvl w:val="2"/>
          <w:numId w:val="25"/>
        </w:numPr>
        <w:spacing w:line="276" w:lineRule="auto"/>
        <w:ind w:left="1440"/>
        <w:outlineLvl w:val="0"/>
        <w:rPr>
          <w:rFonts w:eastAsiaTheme="majorEastAsia" w:cstheme="majorBidi"/>
          <w:b/>
          <w:szCs w:val="16"/>
        </w:rPr>
      </w:pPr>
      <w:r w:rsidRPr="00A505C7">
        <w:rPr>
          <w:rFonts w:eastAsiaTheme="minorEastAsia" w:cs="Arial"/>
        </w:rPr>
        <w:t>Definitions and Standards for Expedited Reporting E2A</w:t>
      </w:r>
    </w:p>
    <w:p w:rsidR="00A66269" w:rsidRPr="007C229B" w:rsidP="001E034F" w14:paraId="3893E9C9" w14:textId="77777777">
      <w:pPr>
        <w:keepNext/>
        <w:numPr>
          <w:ilvl w:val="0"/>
          <w:numId w:val="25"/>
        </w:numPr>
        <w:pBdr>
          <w:top w:val="nil"/>
          <w:left w:val="nil"/>
          <w:bottom w:val="nil"/>
          <w:right w:val="nil"/>
          <w:between w:val="nil"/>
        </w:pBdr>
        <w:spacing w:before="240" w:after="240" w:line="276" w:lineRule="auto"/>
        <w:ind w:left="720" w:hanging="634"/>
        <w:rPr>
          <w:rFonts w:ascii="Arial" w:hAnsi="Arial" w:cs="Arial"/>
          <w:b/>
          <w:bCs/>
          <w:color w:val="365F91" w:themeColor="accent1" w:themeShade="BF"/>
          <w:sz w:val="28"/>
          <w:szCs w:val="28"/>
        </w:rPr>
      </w:pPr>
      <w:r w:rsidRPr="007C229B">
        <w:rPr>
          <w:rFonts w:ascii="Arial" w:hAnsi="Arial" w:cs="Arial"/>
          <w:b/>
          <w:bCs/>
          <w:color w:val="365F91" w:themeColor="accent1" w:themeShade="BF"/>
          <w:sz w:val="28"/>
          <w:szCs w:val="28"/>
        </w:rPr>
        <w:t>Reference Materials</w:t>
      </w:r>
    </w:p>
    <w:p w:rsidR="00A54392" w:rsidP="00A54392" w14:paraId="0AD187FC" w14:textId="071E8B22">
      <w:pPr>
        <w:pStyle w:val="SectionHeading"/>
        <w:spacing w:before="240"/>
        <w:ind w:left="720"/>
        <w:contextualSpacing w:val="0"/>
        <w:rPr>
          <w:rFonts w:cs="Arial"/>
          <w:b w:val="0"/>
          <w:bCs/>
          <w:sz w:val="20"/>
        </w:rPr>
      </w:pPr>
      <w:r w:rsidRPr="001158BD">
        <w:rPr>
          <w:rFonts w:cs="Arial"/>
          <w:b w:val="0"/>
          <w:bCs/>
          <w:sz w:val="20"/>
        </w:rPr>
        <w:t>Reference materials are located in each functional area’s working directory.</w:t>
      </w:r>
    </w:p>
    <w:p w:rsidR="00A54392" w:rsidRPr="00A54392" w:rsidP="00A54392" w14:paraId="593C5199" w14:textId="2F9C9184">
      <w:pPr>
        <w:pStyle w:val="ListParagraph"/>
        <w:numPr>
          <w:ilvl w:val="0"/>
          <w:numId w:val="30"/>
        </w:numPr>
        <w:spacing w:line="276" w:lineRule="auto"/>
        <w:ind w:left="1080"/>
        <w:rPr>
          <w:rFonts w:eastAsia="Arial Narrow" w:cs="Arial"/>
        </w:rPr>
      </w:pPr>
      <w:r w:rsidRPr="00A54392">
        <w:rPr>
          <w:rFonts w:eastAsia="Arial Narrow" w:cs="Arial"/>
        </w:rPr>
        <w:t>Trial Master File Plan Template</w:t>
      </w:r>
    </w:p>
    <w:p w:rsidR="00A54392" w:rsidRPr="00A54392" w:rsidP="00A54392" w14:paraId="7A133A90" w14:textId="248734F2">
      <w:pPr>
        <w:pStyle w:val="ListParagraph"/>
        <w:numPr>
          <w:ilvl w:val="0"/>
          <w:numId w:val="30"/>
        </w:numPr>
        <w:spacing w:line="276" w:lineRule="auto"/>
        <w:ind w:left="1080"/>
        <w:rPr>
          <w:rFonts w:eastAsia="Arial Narrow" w:cs="Arial"/>
        </w:rPr>
      </w:pPr>
      <w:r w:rsidRPr="00A54392">
        <w:rPr>
          <w:rFonts w:eastAsia="Arial Narrow" w:cs="Arial"/>
        </w:rPr>
        <w:t>Trial Master File Close Out Checklist Template</w:t>
      </w:r>
    </w:p>
    <w:p w:rsidR="00A54392" w:rsidRPr="00A54392" w:rsidP="00A54392" w14:paraId="619CD8F6" w14:textId="5AFA2631">
      <w:pPr>
        <w:pStyle w:val="ListParagraph"/>
        <w:numPr>
          <w:ilvl w:val="0"/>
          <w:numId w:val="30"/>
        </w:numPr>
        <w:spacing w:line="276" w:lineRule="auto"/>
        <w:ind w:left="1080"/>
        <w:rPr>
          <w:rFonts w:eastAsia="Arial Narrow" w:cs="Arial"/>
        </w:rPr>
      </w:pPr>
      <w:r w:rsidRPr="00A54392">
        <w:rPr>
          <w:rFonts w:eastAsia="Arial Narrow" w:cs="Arial"/>
        </w:rPr>
        <w:t>Note to File Templat</w:t>
      </w:r>
      <w:bookmarkStart w:id="0" w:name="_Overview"/>
      <w:bookmarkEnd w:id="0"/>
      <w:r w:rsidR="00965A7D">
        <w:rPr>
          <w:rFonts w:eastAsia="Arial Narrow" w:cs="Arial"/>
        </w:rPr>
        <w:t>e</w:t>
      </w:r>
    </w:p>
    <w:p w:rsidR="00A66269" w:rsidRPr="007C229B" w:rsidP="001E034F" w14:paraId="57BC0D50" w14:textId="77777777">
      <w:pPr>
        <w:keepNext/>
        <w:numPr>
          <w:ilvl w:val="0"/>
          <w:numId w:val="25"/>
        </w:numPr>
        <w:pBdr>
          <w:top w:val="nil"/>
          <w:left w:val="nil"/>
          <w:bottom w:val="nil"/>
          <w:right w:val="nil"/>
          <w:between w:val="nil"/>
        </w:pBdr>
        <w:spacing w:before="240" w:after="240" w:line="276" w:lineRule="auto"/>
        <w:ind w:left="720" w:hanging="634"/>
        <w:rPr>
          <w:rFonts w:ascii="Arial" w:hAnsi="Arial" w:cs="Arial"/>
          <w:b/>
          <w:bCs/>
          <w:color w:val="365F91" w:themeColor="accent1" w:themeShade="BF"/>
          <w:sz w:val="28"/>
          <w:szCs w:val="28"/>
        </w:rPr>
      </w:pPr>
      <w:r w:rsidRPr="007C229B">
        <w:rPr>
          <w:rFonts w:ascii="Arial" w:hAnsi="Arial" w:cs="Arial"/>
          <w:b/>
          <w:bCs/>
          <w:color w:val="365F91" w:themeColor="accent1" w:themeShade="BF"/>
          <w:sz w:val="28"/>
          <w:szCs w:val="28"/>
        </w:rPr>
        <w:t>Version History</w:t>
      </w:r>
    </w:p>
    <w:p w:rsidR="001C74A9" w:rsidP="00584523" w14:paraId="379E831B" w14:textId="74883368">
      <w:pPr>
        <w:numPr>
          <w:ilvl w:val="0"/>
          <w:numId w:val="28"/>
        </w:numPr>
        <w:tabs>
          <w:tab w:val="left" w:pos="1170"/>
        </w:tabs>
        <w:spacing w:before="240" w:after="120" w:line="276" w:lineRule="auto"/>
        <w:ind w:left="1080"/>
        <w:contextualSpacing/>
        <w:rPr>
          <w:rFonts w:ascii="Arial" w:hAnsi="Arial" w:cs="Arial"/>
          <w:bCs/>
          <w:sz w:val="20"/>
        </w:rPr>
      </w:pPr>
      <w:r>
        <w:rPr>
          <w:rFonts w:ascii="Arial" w:hAnsi="Arial" w:cs="Arial"/>
          <w:b/>
          <w:sz w:val="20"/>
        </w:rPr>
        <w:t>0</w:t>
      </w:r>
      <w:r w:rsidR="00077991">
        <w:rPr>
          <w:rFonts w:ascii="Arial" w:hAnsi="Arial" w:cs="Arial"/>
          <w:b/>
          <w:sz w:val="20"/>
        </w:rPr>
        <w:t>5/06/</w:t>
      </w:r>
      <w:r w:rsidR="00232CA8">
        <w:rPr>
          <w:rFonts w:ascii="Arial" w:hAnsi="Arial" w:cs="Arial"/>
          <w:b/>
          <w:sz w:val="20"/>
        </w:rPr>
        <w:t>2024</w:t>
      </w:r>
      <w:r w:rsidRPr="00232CA8" w:rsidR="00A66269">
        <w:rPr>
          <w:rFonts w:ascii="Arial" w:hAnsi="Arial" w:cs="Arial"/>
          <w:b/>
          <w:sz w:val="20"/>
        </w:rPr>
        <w:t xml:space="preserve">: </w:t>
      </w:r>
      <w:r w:rsidRPr="00232CA8" w:rsidR="00A66269">
        <w:rPr>
          <w:rFonts w:ascii="Arial" w:hAnsi="Arial" w:cs="Arial"/>
          <w:bCs/>
          <w:sz w:val="20"/>
        </w:rPr>
        <w:t>New document (no prior history)</w:t>
      </w:r>
    </w:p>
    <w:p w:rsidR="00E46806" w:rsidP="00E46806" w14:paraId="32795F05" w14:textId="77777777">
      <w:pPr>
        <w:tabs>
          <w:tab w:val="left" w:pos="1170"/>
        </w:tabs>
        <w:spacing w:before="240" w:after="120" w:line="276" w:lineRule="auto"/>
        <w:contextualSpacing/>
        <w:rPr>
          <w:rFonts w:ascii="Arial" w:hAnsi="Arial" w:cs="Arial"/>
          <w:sz w:val="20"/>
        </w:rPr>
      </w:pPr>
    </w:p>
    <w:p w:rsidR="00E46806" w:rsidP="00E46806" w14:paraId="0D783608" w14:textId="77777777">
      <w:pPr>
        <w:tabs>
          <w:tab w:val="left" w:pos="1170"/>
        </w:tabs>
        <w:spacing w:before="240" w:after="120" w:line="276" w:lineRule="auto"/>
        <w:contextualSpacing/>
        <w:rPr>
          <w:rFonts w:ascii="Arial" w:hAnsi="Arial" w:cs="Arial"/>
          <w:sz w:val="20"/>
        </w:rPr>
      </w:pPr>
    </w:p>
    <w:p w:rsidR="00E46806" w:rsidRPr="00E46806" w:rsidP="00E46806" w14:paraId="1148D911" w14:textId="7368A83C">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E46806" w:rsidRPr="00825DBD" w:rsidP="00E46806" w14:paraId="282EE122" w14:textId="7177857C">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E46806" w:rsidRPr="00825DBD" w:rsidP="00E46806" w14:paraId="297F9F15"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07/15/2024</w:t>
      </w:r>
    </w:p>
    <w:p w:rsidR="00E46806" w:rsidRPr="00825DBD" w:rsidP="00E46806" w14:paraId="2006B848"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07/15/2024</w:t>
      </w:r>
      <w:r w:rsidRPr="00825DBD">
        <w:rPr>
          <w:rFonts w:ascii="Arial" w:hAnsi="Arial"/>
          <w:sz w:val="20"/>
        </w:rPr>
        <w:fldChar w:fldCharType="end"/>
      </w:r>
    </w:p>
    <w:p w:rsidR="00E46806" w:rsidRPr="00A54392" w:rsidP="00E46806" w14:paraId="1C69F6D4" w14:textId="77777777">
      <w:pPr>
        <w:tabs>
          <w:tab w:val="left" w:pos="1170"/>
        </w:tabs>
        <w:spacing w:before="240" w:after="120" w:line="276" w:lineRule="auto"/>
        <w:contextualSpacing/>
        <w:rPr>
          <w:rFonts w:ascii="Arial" w:hAnsi="Arial" w:cs="Arial"/>
          <w:bCs/>
          <w:sz w:val="20"/>
        </w:rPr>
      </w:pPr>
    </w:p>
    <w:sectPr w:rsidSect="0084451B">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2F8640B5" w14:textId="77777777">
    <w:pPr>
      <w:pStyle w:val="Footer"/>
      <w:rPr>
        <w:b w:val="0"/>
        <w:szCs w:val="16"/>
      </w:rPr>
    </w:pPr>
    <w:r>
      <w:rPr>
        <w:rStyle w:val="PageNumber"/>
        <w:szCs w:val="16"/>
      </w:rPr>
      <w:tab/>
    </w:r>
    <w:r w:rsidRPr="007370CD">
      <w:rPr>
        <w:rStyle w:val="PageNumber"/>
        <w:szCs w:val="16"/>
      </w:rPr>
      <w:tab/>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7357367"/>
      <w:docPartObj>
        <w:docPartGallery w:val="Page Numbers (Bottom of Page)"/>
        <w:docPartUnique/>
      </w:docPartObj>
    </w:sdtPr>
    <w:sdtEndPr>
      <w:rPr>
        <w:i w:val="0"/>
        <w:iCs/>
      </w:rPr>
    </w:sdtEndPr>
    <w:sdtContent>
      <w:sdt>
        <w:sdtPr>
          <w:rPr>
            <w:i w:val="0"/>
            <w:iCs/>
          </w:rPr>
          <w:id w:val="188578770"/>
          <w:docPartObj>
            <w:docPartGallery w:val="Page Numbers (Top of Page)"/>
            <w:docPartUnique/>
          </w:docPartObj>
        </w:sdtPr>
        <w:sdtContent>
          <w:p w:rsidR="00BC681F" w:rsidRPr="00BC681F" w:rsidP="00BC681F" w14:paraId="109C74AF" w14:textId="7777777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4</w:t>
            </w:r>
            <w:r w:rsidRPr="00BC681F">
              <w:rPr>
                <w:i w:val="0"/>
                <w:iCs/>
                <w:sz w:val="24"/>
                <w:szCs w:val="24"/>
              </w:rPr>
              <w:fldChar w:fldCharType="end"/>
            </w:r>
          </w:p>
        </w:sdtContent>
      </w:sdt>
    </w:sdtContent>
  </w:sdt>
  <w:p w:rsidR="00BC681F" w:rsidP="00BC681F" w14:paraId="5D35268E"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43F" w14:paraId="5E6553F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6593101"/>
      <w:docPartObj>
        <w:docPartGallery w:val="Page Numbers (Bottom of Page)"/>
        <w:docPartUnique/>
      </w:docPartObj>
    </w:sdtPr>
    <w:sdtContent>
      <w:sdt>
        <w:sdtPr>
          <w:id w:val="-614531989"/>
          <w:docPartObj>
            <w:docPartGallery w:val="Page Numbers (Top of Page)"/>
            <w:docPartUnique/>
          </w:docPartObj>
        </w:sdtPr>
        <w:sdtContent>
          <w:p w:rsidR="00FF143F" w:rsidRPr="00823578" w:rsidP="00823578" w14:paraId="5AE0C1C5"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557157"/>
      <w:docPartObj>
        <w:docPartGallery w:val="Page Numbers (Bottom of Page)"/>
        <w:docPartUnique/>
      </w:docPartObj>
    </w:sdtPr>
    <w:sdtContent>
      <w:sdt>
        <w:sdtPr>
          <w:id w:val="411358096"/>
          <w:docPartObj>
            <w:docPartGallery w:val="Page Numbers (Top of Page)"/>
            <w:docPartUnique/>
          </w:docPartObj>
        </w:sdtPr>
        <w:sdtContent>
          <w:p w:rsidR="00FF143F" w14:paraId="7C60A8D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FF143F" w14:paraId="233AC52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17E66E9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rPr>
      <w:id w:val="1613171537"/>
      <w:docPartObj>
        <w:docPartGallery w:val="Page Numbers (Bottom of Page)"/>
        <w:docPartUnique/>
      </w:docPartObj>
    </w:sdtPr>
    <w:sdtContent>
      <w:sdt>
        <w:sdtPr>
          <w:rPr>
            <w:i w:val="0"/>
            <w:iCs/>
          </w:rPr>
          <w:id w:val="-1769616900"/>
          <w:docPartObj>
            <w:docPartGallery w:val="Page Numbers (Top of Page)"/>
            <w:docPartUnique/>
          </w:docPartObj>
        </w:sdtPr>
        <w:sdtContent>
          <w:p w:rsidR="00BC681F" w:rsidRPr="00BC681F" w:rsidP="00BC681F" w14:paraId="2A10B5FC" w14:textId="77777777">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p>
        </w:sdtContent>
      </w:sdt>
    </w:sdtContent>
  </w:sdt>
  <w:p w:rsidR="009F3B0B" w:rsidRPr="003E23FF" w:rsidP="00BC681F" w14:paraId="5E224B34" w14:textId="77777777">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2485229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32FF5D28" w14:textId="7777777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1AE" w:rsidP="00A711AE" w14:paraId="00FB76FB" w14:textId="77777777">
    <w:pPr>
      <w:pStyle w:val="DocTitle"/>
    </w:pPr>
    <w:r>
      <w:rPr>
        <w:noProof/>
      </w:rPr>
      <w:drawing>
        <wp:inline distT="0" distB="0" distL="0" distR="0">
          <wp:extent cx="4432300" cy="317500"/>
          <wp:effectExtent l="0" t="0" r="0" b="0"/>
          <wp:docPr id="1821110093" name="Picture 182111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10093"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5027DE" w:rsidRPr="007C229B" w:rsidP="00A711AE" w14:paraId="7062B650" w14:textId="5374D0A1">
    <w:pPr>
      <w:pStyle w:val="DocTitle"/>
      <w:rPr>
        <w:color w:val="17365D" w:themeColor="text2" w:themeShade="BF"/>
      </w:rPr>
    </w:pPr>
    <w:r w:rsidRPr="007C229B">
      <w:rPr>
        <w:color w:val="17365D" w:themeColor="text2" w:themeShade="BF"/>
      </w:rPr>
      <w:t>Trial Master File (Sponsor) -0302- Procedure</w:t>
    </w:r>
  </w:p>
  <w:p w:rsidR="00825DBD" w:rsidRPr="00825DBD" w:rsidP="00825DBD" w14:paraId="15F9125A" w14:textId="359ED771">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sidR="00E86CB7">
      <w:rPr>
        <w:rFonts w:ascii="Arial" w:hAnsi="Arial"/>
        <w:sz w:val="20"/>
      </w:rPr>
      <w:t>YCCI</w:t>
    </w:r>
  </w:p>
  <w:p w:rsidR="00825DBD" w:rsidRPr="00825DBD" w:rsidP="00825DBD" w14:paraId="688CF046" w14:textId="1868C9CF">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E86CB7">
      <w:rPr>
        <w:rFonts w:ascii="Arial" w:hAnsi="Arial"/>
        <w:sz w:val="20"/>
      </w:rPr>
      <w:t>Julie Holub, Theresa Goddard, Amy Hummel</w:t>
    </w:r>
  </w:p>
  <w:p w:rsidR="00825DBD" w:rsidRPr="00825DBD" w:rsidP="00825DBD" w14:paraId="5AFCB682" w14:textId="77777777">
    <w:pPr>
      <w:spacing w:before="240" w:after="240"/>
      <w:contextualSpacing/>
      <w:rPr>
        <w:rFonts w:ascii="Arial" w:hAnsi="Arial"/>
        <w:sz w:val="20"/>
        <w:szCs w:val="24"/>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07/15/2024</w:t>
    </w:r>
    <w:r w:rsidRPr="00825DBD">
      <w:rPr>
        <w:rFonts w:ascii="Arial" w:hAnsi="Arial"/>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43F" w14:paraId="5D8B98D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43F" w14:paraId="3A7D89B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43F" w:rsidP="004135B1" w14:paraId="0E7AD1D5" w14:textId="77777777">
    <w:pPr>
      <w:pStyle w:val="DocTitle"/>
      <w:pBdr>
        <w:bottom w:val="none" w:sz="0" w:space="0" w:color="auto"/>
      </w:pBdr>
    </w:pPr>
    <w:r>
      <w:rPr>
        <w:noProof/>
      </w:rPr>
      <w:drawing>
        <wp:inline distT="0" distB="0" distL="0" distR="0">
          <wp:extent cx="2505075" cy="742950"/>
          <wp:effectExtent l="0" t="0" r="9525" b="0"/>
          <wp:docPr id="605808618" name="Picture 605808618"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05808618"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FF143F" w:rsidRPr="00F95CFD" w:rsidP="002E77C3" w14:paraId="18D08E41"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Trial Master File (Sponsor)- 0302- Procedure</w:t>
    </w:r>
    <w:r w:rsidRPr="00F95CFD">
      <w:rPr>
        <w:b/>
        <w:bCs/>
        <w:sz w:val="36"/>
        <w:szCs w:val="36"/>
      </w:rPr>
      <w:fldChar w:fldCharType="end"/>
    </w:r>
  </w:p>
  <w:p w:rsidR="00FF143F" w:rsidP="008D3096" w14:paraId="13EE1E18" w14:textId="77777777">
    <w:pPr>
      <w:rPr>
        <w:b/>
        <w:bCs/>
        <w:szCs w:val="24"/>
      </w:rPr>
    </w:pPr>
  </w:p>
  <w:p w:rsidR="00FF143F" w:rsidRPr="00825DBD" w:rsidP="008D3096" w14:paraId="31054753"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FF143F" w:rsidRPr="00825DBD" w:rsidP="008D3096" w14:paraId="328E155E"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FF143F" w:rsidRPr="00825DBD" w:rsidP="008D3096" w14:paraId="0FD6854D"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Amy Hummel, Julie Holub, Theresa Goddard</w:t>
    </w:r>
    <w:r>
      <w:fldChar w:fldCharType="end"/>
    </w:r>
    <w:r>
      <w:t xml:space="preserve"> (Writer’s name and title as reflected in PT)</w:t>
    </w:r>
  </w:p>
  <w:p w:rsidR="00FF143F" w:rsidRPr="00825DBD" w:rsidP="008D3096" w14:paraId="33C49FC2"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FF143F" w:rsidRPr="00825DBD" w:rsidP="008D3096" w14:paraId="1931A594"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No Original</w:t>
    </w:r>
    <w:r>
      <w:t xml:space="preserve"> Creation Date Set</w:t>
    </w:r>
    <w:r>
      <w:fldChar w:fldCharType="end"/>
    </w:r>
  </w:p>
  <w:p w:rsidR="00FF143F" w:rsidRPr="00825DBD" w:rsidP="008D3096" w14:paraId="20A9D8EA"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07/15/2024</w:t>
    </w:r>
    <w:r>
      <w:fldChar w:fldCharType="end"/>
    </w:r>
  </w:p>
  <w:p w:rsidR="00FF143F" w:rsidRPr="008D3096" w:rsidP="004135B1" w14:paraId="2EF33AB0"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07/15/2024</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4CB93FB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60F4E836" w14:textId="77777777">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32F2DB98" w14:textId="77777777">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29DF37A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1CB03A53"/>
    <w:multiLevelType w:val="hybridMultilevel"/>
    <w:tmpl w:val="817E6506"/>
    <w:lvl w:ilvl="0">
      <w:start w:val="1"/>
      <w:numFmt w:val="bullet"/>
      <w:lvlText w:val="o"/>
      <w:lvlJc w:val="left"/>
      <w:pPr>
        <w:ind w:left="1800" w:hanging="360"/>
      </w:pPr>
      <w:rPr>
        <w:rFonts w:ascii="Courier New" w:hAnsi="Courier New" w:cs="Courier New" w:hint="default"/>
        <w:strike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4080CD5"/>
    <w:multiLevelType w:val="hybridMultilevel"/>
    <w:tmpl w:val="E262802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287A0570"/>
    <w:multiLevelType w:val="hybridMultilevel"/>
    <w:tmpl w:val="8CDA00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E0250C2"/>
    <w:multiLevelType w:val="hybridMultilevel"/>
    <w:tmpl w:val="B1ACBE7C"/>
    <w:lvl w:ilvl="0">
      <w:start w:val="1"/>
      <w:numFmt w:val="lowerRoman"/>
      <w:lvlText w:val="%1."/>
      <w:lvlJc w:val="right"/>
      <w:pPr>
        <w:ind w:left="2160" w:hanging="360"/>
      </w:pPr>
      <w:rPr>
        <w:rFonts w:hint="default"/>
      </w:r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5" w15:restartNumberingAfterBreak="0">
    <w:nsid w:val="2EFD5664"/>
    <w:multiLevelType w:val="hybridMultilevel"/>
    <w:tmpl w:val="CFC68B54"/>
    <w:lvl w:ilvl="0">
      <w:start w:val="1"/>
      <w:numFmt w:val="bullet"/>
      <w:lvlText w:val=""/>
      <w:lvlJc w:val="left"/>
      <w:pPr>
        <w:ind w:left="1800" w:hanging="360"/>
      </w:pPr>
      <w:rPr>
        <w:rFonts w:ascii="Symbol" w:hAnsi="Symbol" w:hint="default"/>
        <w:strike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15:restartNumberingAfterBreak="0">
    <w:nsid w:val="3A2314DA"/>
    <w:multiLevelType w:val="multilevel"/>
    <w:tmpl w:val="3780A71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15:restartNumberingAfterBreak="0">
    <w:nsid w:val="5CC1119E"/>
    <w:multiLevelType w:val="multilevel"/>
    <w:tmpl w:val="9762FF1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3B611F"/>
    <w:multiLevelType w:val="multilevel"/>
    <w:tmpl w:val="752A5DEA"/>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8" w15:restartNumberingAfterBreak="0">
    <w:nsid w:val="75701AA0"/>
    <w:multiLevelType w:val="hybridMultilevel"/>
    <w:tmpl w:val="60725B0E"/>
    <w:lvl w:ilvl="0">
      <w:start w:val="1"/>
      <w:numFmt w:val="bullet"/>
      <w:lvlText w:val="o"/>
      <w:lvlJc w:val="left"/>
      <w:pPr>
        <w:ind w:left="1440" w:hanging="360"/>
      </w:pPr>
      <w:rPr>
        <w:rFonts w:ascii="Courier New" w:hAnsi="Courier New" w:cs="Courier New" w:hint="default"/>
        <w:strike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75D67392"/>
    <w:multiLevelType w:val="hybridMultilevel"/>
    <w:tmpl w:val="E6AABD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num w:numId="1" w16cid:durableId="1757894480">
    <w:abstractNumId w:val="32"/>
  </w:num>
  <w:num w:numId="2" w16cid:durableId="2019381590">
    <w:abstractNumId w:val="6"/>
  </w:num>
  <w:num w:numId="3" w16cid:durableId="1314800816">
    <w:abstractNumId w:val="5"/>
  </w:num>
  <w:num w:numId="4" w16cid:durableId="660541806">
    <w:abstractNumId w:val="3"/>
  </w:num>
  <w:num w:numId="5" w16cid:durableId="1718890816">
    <w:abstractNumId w:val="10"/>
  </w:num>
  <w:num w:numId="6" w16cid:durableId="1626815938">
    <w:abstractNumId w:val="31"/>
  </w:num>
  <w:num w:numId="7" w16cid:durableId="188033005">
    <w:abstractNumId w:val="2"/>
  </w:num>
  <w:num w:numId="8" w16cid:durableId="2001611608">
    <w:abstractNumId w:val="12"/>
  </w:num>
  <w:num w:numId="9" w16cid:durableId="158431147">
    <w:abstractNumId w:val="18"/>
  </w:num>
  <w:num w:numId="10" w16cid:durableId="1045829789">
    <w:abstractNumId w:val="19"/>
  </w:num>
  <w:num w:numId="11" w16cid:durableId="1776097496">
    <w:abstractNumId w:val="16"/>
  </w:num>
  <w:num w:numId="12" w16cid:durableId="1191451107">
    <w:abstractNumId w:val="26"/>
  </w:num>
  <w:num w:numId="13" w16cid:durableId="1459301750">
    <w:abstractNumId w:val="7"/>
  </w:num>
  <w:num w:numId="14" w16cid:durableId="1259217049">
    <w:abstractNumId w:val="24"/>
  </w:num>
  <w:num w:numId="15" w16cid:durableId="447549081">
    <w:abstractNumId w:val="0"/>
  </w:num>
  <w:num w:numId="16" w16cid:durableId="617378431">
    <w:abstractNumId w:val="27"/>
  </w:num>
  <w:num w:numId="17" w16cid:durableId="1120606456">
    <w:abstractNumId w:val="4"/>
  </w:num>
  <w:num w:numId="18" w16cid:durableId="638460244">
    <w:abstractNumId w:val="23"/>
  </w:num>
  <w:num w:numId="19" w16cid:durableId="1415470845">
    <w:abstractNumId w:val="20"/>
  </w:num>
  <w:num w:numId="20" w16cid:durableId="1461455832">
    <w:abstractNumId w:val="30"/>
  </w:num>
  <w:num w:numId="21" w16cid:durableId="155189563">
    <w:abstractNumId w:val="8"/>
  </w:num>
  <w:num w:numId="22" w16cid:durableId="1399865994">
    <w:abstractNumId w:val="22"/>
  </w:num>
  <w:num w:numId="23" w16cid:durableId="250703795">
    <w:abstractNumId w:val="25"/>
  </w:num>
  <w:num w:numId="24" w16cid:durableId="1283610410">
    <w:abstractNumId w:val="17"/>
  </w:num>
  <w:num w:numId="25" w16cid:durableId="1408847770">
    <w:abstractNumId w:val="21"/>
  </w:num>
  <w:num w:numId="26" w16cid:durableId="500314971">
    <w:abstractNumId w:val="29"/>
  </w:num>
  <w:num w:numId="27" w16cid:durableId="257102333">
    <w:abstractNumId w:val="28"/>
  </w:num>
  <w:num w:numId="28" w16cid:durableId="757554403">
    <w:abstractNumId w:val="1"/>
  </w:num>
  <w:num w:numId="29" w16cid:durableId="1443844922">
    <w:abstractNumId w:val="9"/>
  </w:num>
  <w:num w:numId="30" w16cid:durableId="112675773">
    <w:abstractNumId w:val="15"/>
  </w:num>
  <w:num w:numId="31" w16cid:durableId="1803235111">
    <w:abstractNumId w:val="13"/>
  </w:num>
  <w:num w:numId="32" w16cid:durableId="1886478518">
    <w:abstractNumId w:val="14"/>
  </w:num>
  <w:num w:numId="33" w16cid:durableId="96030093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06C2F"/>
    <w:rsid w:val="00010824"/>
    <w:rsid w:val="000169BC"/>
    <w:rsid w:val="00022D91"/>
    <w:rsid w:val="0002391B"/>
    <w:rsid w:val="00025CC9"/>
    <w:rsid w:val="00033FF2"/>
    <w:rsid w:val="0003525C"/>
    <w:rsid w:val="0005290F"/>
    <w:rsid w:val="00070F28"/>
    <w:rsid w:val="0007105D"/>
    <w:rsid w:val="00077991"/>
    <w:rsid w:val="000821CA"/>
    <w:rsid w:val="000835A5"/>
    <w:rsid w:val="0008413B"/>
    <w:rsid w:val="000941F9"/>
    <w:rsid w:val="000968D8"/>
    <w:rsid w:val="000A0153"/>
    <w:rsid w:val="000A08B8"/>
    <w:rsid w:val="000A1546"/>
    <w:rsid w:val="000A2594"/>
    <w:rsid w:val="000A5C78"/>
    <w:rsid w:val="000A60CE"/>
    <w:rsid w:val="000A64C4"/>
    <w:rsid w:val="000A64C5"/>
    <w:rsid w:val="000C570F"/>
    <w:rsid w:val="000D1C4C"/>
    <w:rsid w:val="000D5F1F"/>
    <w:rsid w:val="000E16C4"/>
    <w:rsid w:val="000E1DCA"/>
    <w:rsid w:val="000E5793"/>
    <w:rsid w:val="000E6116"/>
    <w:rsid w:val="000E6AFB"/>
    <w:rsid w:val="000F06DA"/>
    <w:rsid w:val="000F0F28"/>
    <w:rsid w:val="000F19DB"/>
    <w:rsid w:val="000F33BD"/>
    <w:rsid w:val="000F374C"/>
    <w:rsid w:val="000F3F14"/>
    <w:rsid w:val="000F4F5B"/>
    <w:rsid w:val="000F651F"/>
    <w:rsid w:val="000F728C"/>
    <w:rsid w:val="00105361"/>
    <w:rsid w:val="00107E52"/>
    <w:rsid w:val="00113637"/>
    <w:rsid w:val="001158BD"/>
    <w:rsid w:val="00117703"/>
    <w:rsid w:val="00121A11"/>
    <w:rsid w:val="001251D9"/>
    <w:rsid w:val="0012718A"/>
    <w:rsid w:val="00142309"/>
    <w:rsid w:val="0015648B"/>
    <w:rsid w:val="00162BCF"/>
    <w:rsid w:val="0016561A"/>
    <w:rsid w:val="0016649B"/>
    <w:rsid w:val="001669A2"/>
    <w:rsid w:val="001719AC"/>
    <w:rsid w:val="0017611A"/>
    <w:rsid w:val="00177A9C"/>
    <w:rsid w:val="00181446"/>
    <w:rsid w:val="001820E8"/>
    <w:rsid w:val="00182572"/>
    <w:rsid w:val="00183283"/>
    <w:rsid w:val="001955CA"/>
    <w:rsid w:val="001970F4"/>
    <w:rsid w:val="001A0CFC"/>
    <w:rsid w:val="001A7501"/>
    <w:rsid w:val="001A7AF1"/>
    <w:rsid w:val="001B4791"/>
    <w:rsid w:val="001B5AC9"/>
    <w:rsid w:val="001B7B5D"/>
    <w:rsid w:val="001C0799"/>
    <w:rsid w:val="001C1FDD"/>
    <w:rsid w:val="001C406B"/>
    <w:rsid w:val="001C49D4"/>
    <w:rsid w:val="001C57F3"/>
    <w:rsid w:val="001C7346"/>
    <w:rsid w:val="001C74A9"/>
    <w:rsid w:val="001D0E49"/>
    <w:rsid w:val="001D2117"/>
    <w:rsid w:val="001D6E12"/>
    <w:rsid w:val="001E034F"/>
    <w:rsid w:val="001E2F63"/>
    <w:rsid w:val="001E482E"/>
    <w:rsid w:val="001E7CC9"/>
    <w:rsid w:val="001F2D93"/>
    <w:rsid w:val="001F686B"/>
    <w:rsid w:val="001F7A0B"/>
    <w:rsid w:val="002039C7"/>
    <w:rsid w:val="00205B46"/>
    <w:rsid w:val="00210637"/>
    <w:rsid w:val="002130FF"/>
    <w:rsid w:val="00214A50"/>
    <w:rsid w:val="00214C14"/>
    <w:rsid w:val="00216640"/>
    <w:rsid w:val="00220BEF"/>
    <w:rsid w:val="00227004"/>
    <w:rsid w:val="00232CA8"/>
    <w:rsid w:val="00235CE5"/>
    <w:rsid w:val="0024199A"/>
    <w:rsid w:val="00241AD2"/>
    <w:rsid w:val="00244245"/>
    <w:rsid w:val="0024564B"/>
    <w:rsid w:val="00245C8F"/>
    <w:rsid w:val="002465D2"/>
    <w:rsid w:val="00247AF1"/>
    <w:rsid w:val="00251B96"/>
    <w:rsid w:val="00260B84"/>
    <w:rsid w:val="002632F6"/>
    <w:rsid w:val="00267874"/>
    <w:rsid w:val="00267E18"/>
    <w:rsid w:val="00270074"/>
    <w:rsid w:val="00270C14"/>
    <w:rsid w:val="00271E24"/>
    <w:rsid w:val="002725F4"/>
    <w:rsid w:val="00277B7B"/>
    <w:rsid w:val="00281F82"/>
    <w:rsid w:val="00282C2E"/>
    <w:rsid w:val="00283BBB"/>
    <w:rsid w:val="00285BB2"/>
    <w:rsid w:val="00286C21"/>
    <w:rsid w:val="002936CD"/>
    <w:rsid w:val="002961AE"/>
    <w:rsid w:val="002A0CCE"/>
    <w:rsid w:val="002A0FF4"/>
    <w:rsid w:val="002A21AD"/>
    <w:rsid w:val="002A5D5B"/>
    <w:rsid w:val="002A73EE"/>
    <w:rsid w:val="002A7B86"/>
    <w:rsid w:val="002B175D"/>
    <w:rsid w:val="002B183A"/>
    <w:rsid w:val="002B21E1"/>
    <w:rsid w:val="002B7698"/>
    <w:rsid w:val="002B7A89"/>
    <w:rsid w:val="002C3A1C"/>
    <w:rsid w:val="002C4A64"/>
    <w:rsid w:val="002C5207"/>
    <w:rsid w:val="002C691D"/>
    <w:rsid w:val="002C6E0D"/>
    <w:rsid w:val="002D15C4"/>
    <w:rsid w:val="002D2AF1"/>
    <w:rsid w:val="002D4024"/>
    <w:rsid w:val="002D50E3"/>
    <w:rsid w:val="002D65C1"/>
    <w:rsid w:val="002E0BB3"/>
    <w:rsid w:val="002E77C3"/>
    <w:rsid w:val="002F0024"/>
    <w:rsid w:val="002F3DC2"/>
    <w:rsid w:val="00300226"/>
    <w:rsid w:val="00304E50"/>
    <w:rsid w:val="00312D54"/>
    <w:rsid w:val="00317E90"/>
    <w:rsid w:val="00320658"/>
    <w:rsid w:val="00321D0F"/>
    <w:rsid w:val="00323BDA"/>
    <w:rsid w:val="00327832"/>
    <w:rsid w:val="00331229"/>
    <w:rsid w:val="00331873"/>
    <w:rsid w:val="00332C67"/>
    <w:rsid w:val="00334D7C"/>
    <w:rsid w:val="00340AF8"/>
    <w:rsid w:val="00343859"/>
    <w:rsid w:val="00343AC1"/>
    <w:rsid w:val="00343BC4"/>
    <w:rsid w:val="003444B4"/>
    <w:rsid w:val="003472AD"/>
    <w:rsid w:val="0034772D"/>
    <w:rsid w:val="003548BF"/>
    <w:rsid w:val="0035554E"/>
    <w:rsid w:val="00364A0D"/>
    <w:rsid w:val="00371C80"/>
    <w:rsid w:val="00376716"/>
    <w:rsid w:val="00387406"/>
    <w:rsid w:val="00390BDE"/>
    <w:rsid w:val="00390FC2"/>
    <w:rsid w:val="00392960"/>
    <w:rsid w:val="003A24A9"/>
    <w:rsid w:val="003A347D"/>
    <w:rsid w:val="003A622B"/>
    <w:rsid w:val="003A7270"/>
    <w:rsid w:val="003B160A"/>
    <w:rsid w:val="003B1AB5"/>
    <w:rsid w:val="003B57D2"/>
    <w:rsid w:val="003B65E2"/>
    <w:rsid w:val="003B786B"/>
    <w:rsid w:val="003C246D"/>
    <w:rsid w:val="003C73AC"/>
    <w:rsid w:val="003D5567"/>
    <w:rsid w:val="003E13B0"/>
    <w:rsid w:val="003E23FF"/>
    <w:rsid w:val="003E469B"/>
    <w:rsid w:val="003F02CE"/>
    <w:rsid w:val="003F08E7"/>
    <w:rsid w:val="003F1630"/>
    <w:rsid w:val="003F2407"/>
    <w:rsid w:val="003F429B"/>
    <w:rsid w:val="003F76D1"/>
    <w:rsid w:val="004038C4"/>
    <w:rsid w:val="004069B9"/>
    <w:rsid w:val="00407B99"/>
    <w:rsid w:val="004135B1"/>
    <w:rsid w:val="004142AB"/>
    <w:rsid w:val="0041431B"/>
    <w:rsid w:val="00416917"/>
    <w:rsid w:val="00423312"/>
    <w:rsid w:val="00423D18"/>
    <w:rsid w:val="004244E0"/>
    <w:rsid w:val="00425047"/>
    <w:rsid w:val="00426D84"/>
    <w:rsid w:val="00426DC3"/>
    <w:rsid w:val="00430EFA"/>
    <w:rsid w:val="00446703"/>
    <w:rsid w:val="004676A5"/>
    <w:rsid w:val="00475772"/>
    <w:rsid w:val="0047723D"/>
    <w:rsid w:val="00482C7C"/>
    <w:rsid w:val="00483DE8"/>
    <w:rsid w:val="00491530"/>
    <w:rsid w:val="00491760"/>
    <w:rsid w:val="00493005"/>
    <w:rsid w:val="004968D4"/>
    <w:rsid w:val="004A0C25"/>
    <w:rsid w:val="004A4DD7"/>
    <w:rsid w:val="004A5EBC"/>
    <w:rsid w:val="004B2E2E"/>
    <w:rsid w:val="004B40C4"/>
    <w:rsid w:val="004B4C5C"/>
    <w:rsid w:val="004C2940"/>
    <w:rsid w:val="004C5C00"/>
    <w:rsid w:val="004C70F6"/>
    <w:rsid w:val="004D23FD"/>
    <w:rsid w:val="004D72E4"/>
    <w:rsid w:val="004E0064"/>
    <w:rsid w:val="004E39DE"/>
    <w:rsid w:val="004F0266"/>
    <w:rsid w:val="004F03D4"/>
    <w:rsid w:val="004F0A2A"/>
    <w:rsid w:val="004F57B3"/>
    <w:rsid w:val="004F6FC2"/>
    <w:rsid w:val="005027DE"/>
    <w:rsid w:val="0051312B"/>
    <w:rsid w:val="0051401F"/>
    <w:rsid w:val="00520E45"/>
    <w:rsid w:val="005214FC"/>
    <w:rsid w:val="005217FD"/>
    <w:rsid w:val="005240F3"/>
    <w:rsid w:val="0052796E"/>
    <w:rsid w:val="00533692"/>
    <w:rsid w:val="005434C8"/>
    <w:rsid w:val="00552EFC"/>
    <w:rsid w:val="00560BED"/>
    <w:rsid w:val="00562AAF"/>
    <w:rsid w:val="0056516C"/>
    <w:rsid w:val="0056675B"/>
    <w:rsid w:val="005668EC"/>
    <w:rsid w:val="00567F11"/>
    <w:rsid w:val="00571237"/>
    <w:rsid w:val="005777ED"/>
    <w:rsid w:val="00582FE3"/>
    <w:rsid w:val="00583A24"/>
    <w:rsid w:val="00584523"/>
    <w:rsid w:val="005865E2"/>
    <w:rsid w:val="005970DC"/>
    <w:rsid w:val="005A2ADD"/>
    <w:rsid w:val="005A2D23"/>
    <w:rsid w:val="005B0A44"/>
    <w:rsid w:val="005B5574"/>
    <w:rsid w:val="005B7864"/>
    <w:rsid w:val="005C4EC3"/>
    <w:rsid w:val="005C63F4"/>
    <w:rsid w:val="005D491B"/>
    <w:rsid w:val="005D576B"/>
    <w:rsid w:val="005E101A"/>
    <w:rsid w:val="005E496E"/>
    <w:rsid w:val="005F134E"/>
    <w:rsid w:val="005F2121"/>
    <w:rsid w:val="00601FBF"/>
    <w:rsid w:val="00613E6F"/>
    <w:rsid w:val="00623821"/>
    <w:rsid w:val="00626E02"/>
    <w:rsid w:val="00634424"/>
    <w:rsid w:val="00635DEB"/>
    <w:rsid w:val="006361EE"/>
    <w:rsid w:val="006401E3"/>
    <w:rsid w:val="0064051E"/>
    <w:rsid w:val="00647956"/>
    <w:rsid w:val="0065016B"/>
    <w:rsid w:val="00655EEE"/>
    <w:rsid w:val="0066026E"/>
    <w:rsid w:val="00663FE2"/>
    <w:rsid w:val="00665A6B"/>
    <w:rsid w:val="00665E83"/>
    <w:rsid w:val="00666857"/>
    <w:rsid w:val="0066704D"/>
    <w:rsid w:val="00672221"/>
    <w:rsid w:val="0068066E"/>
    <w:rsid w:val="00683203"/>
    <w:rsid w:val="006840C7"/>
    <w:rsid w:val="00684D3C"/>
    <w:rsid w:val="006856D5"/>
    <w:rsid w:val="00692BC0"/>
    <w:rsid w:val="006A0AC1"/>
    <w:rsid w:val="006A453F"/>
    <w:rsid w:val="006A5D11"/>
    <w:rsid w:val="006B0516"/>
    <w:rsid w:val="006B09DC"/>
    <w:rsid w:val="006B39E0"/>
    <w:rsid w:val="006B6633"/>
    <w:rsid w:val="006B6C54"/>
    <w:rsid w:val="006B7549"/>
    <w:rsid w:val="006C1388"/>
    <w:rsid w:val="006C1B76"/>
    <w:rsid w:val="006C2776"/>
    <w:rsid w:val="006C6F49"/>
    <w:rsid w:val="006D2A8C"/>
    <w:rsid w:val="006D3CA9"/>
    <w:rsid w:val="006E172D"/>
    <w:rsid w:val="006E201A"/>
    <w:rsid w:val="006E2644"/>
    <w:rsid w:val="006E4100"/>
    <w:rsid w:val="006E5115"/>
    <w:rsid w:val="006E5D3B"/>
    <w:rsid w:val="006E7105"/>
    <w:rsid w:val="006F2C7F"/>
    <w:rsid w:val="006F2F54"/>
    <w:rsid w:val="00702C8F"/>
    <w:rsid w:val="00705C05"/>
    <w:rsid w:val="00715C85"/>
    <w:rsid w:val="00716EE4"/>
    <w:rsid w:val="00720B12"/>
    <w:rsid w:val="0072321C"/>
    <w:rsid w:val="0072458A"/>
    <w:rsid w:val="00731C56"/>
    <w:rsid w:val="0073281C"/>
    <w:rsid w:val="00734FFD"/>
    <w:rsid w:val="007370CD"/>
    <w:rsid w:val="007439CE"/>
    <w:rsid w:val="00747A37"/>
    <w:rsid w:val="00750A1B"/>
    <w:rsid w:val="0075713A"/>
    <w:rsid w:val="00761900"/>
    <w:rsid w:val="00762C18"/>
    <w:rsid w:val="007647EE"/>
    <w:rsid w:val="00770CE2"/>
    <w:rsid w:val="00772D23"/>
    <w:rsid w:val="00780B11"/>
    <w:rsid w:val="00781E25"/>
    <w:rsid w:val="0079028A"/>
    <w:rsid w:val="007944F1"/>
    <w:rsid w:val="007A1F86"/>
    <w:rsid w:val="007A5B43"/>
    <w:rsid w:val="007B4D50"/>
    <w:rsid w:val="007B6035"/>
    <w:rsid w:val="007C0005"/>
    <w:rsid w:val="007C229B"/>
    <w:rsid w:val="007C4B04"/>
    <w:rsid w:val="007D0518"/>
    <w:rsid w:val="007D3543"/>
    <w:rsid w:val="007D7AD3"/>
    <w:rsid w:val="007E0739"/>
    <w:rsid w:val="007E65C9"/>
    <w:rsid w:val="00801AF1"/>
    <w:rsid w:val="0080537A"/>
    <w:rsid w:val="00805D01"/>
    <w:rsid w:val="008115C4"/>
    <w:rsid w:val="00811B8B"/>
    <w:rsid w:val="0081404E"/>
    <w:rsid w:val="00816073"/>
    <w:rsid w:val="008212F0"/>
    <w:rsid w:val="00823578"/>
    <w:rsid w:val="00825DBD"/>
    <w:rsid w:val="0083680E"/>
    <w:rsid w:val="0084342E"/>
    <w:rsid w:val="00843C71"/>
    <w:rsid w:val="0084451B"/>
    <w:rsid w:val="00845C0D"/>
    <w:rsid w:val="00856BDB"/>
    <w:rsid w:val="008646D0"/>
    <w:rsid w:val="008652F5"/>
    <w:rsid w:val="00866767"/>
    <w:rsid w:val="00872DC1"/>
    <w:rsid w:val="00873DC4"/>
    <w:rsid w:val="00874AAF"/>
    <w:rsid w:val="00881808"/>
    <w:rsid w:val="00883262"/>
    <w:rsid w:val="00886B72"/>
    <w:rsid w:val="008907C9"/>
    <w:rsid w:val="0089772C"/>
    <w:rsid w:val="008A19D9"/>
    <w:rsid w:val="008B39F4"/>
    <w:rsid w:val="008B3C71"/>
    <w:rsid w:val="008B50F2"/>
    <w:rsid w:val="008B6093"/>
    <w:rsid w:val="008C3E77"/>
    <w:rsid w:val="008D3096"/>
    <w:rsid w:val="008D39F7"/>
    <w:rsid w:val="008D4061"/>
    <w:rsid w:val="008E029F"/>
    <w:rsid w:val="008E470D"/>
    <w:rsid w:val="008E5B1E"/>
    <w:rsid w:val="008F26E6"/>
    <w:rsid w:val="008F29BF"/>
    <w:rsid w:val="00900D81"/>
    <w:rsid w:val="00901D63"/>
    <w:rsid w:val="00910061"/>
    <w:rsid w:val="00912D28"/>
    <w:rsid w:val="0091676E"/>
    <w:rsid w:val="00917A22"/>
    <w:rsid w:val="00925EF1"/>
    <w:rsid w:val="0092751C"/>
    <w:rsid w:val="009372A2"/>
    <w:rsid w:val="00940D77"/>
    <w:rsid w:val="00941327"/>
    <w:rsid w:val="009436C7"/>
    <w:rsid w:val="00947CC3"/>
    <w:rsid w:val="0095126B"/>
    <w:rsid w:val="00957505"/>
    <w:rsid w:val="00961773"/>
    <w:rsid w:val="00963096"/>
    <w:rsid w:val="00965A7D"/>
    <w:rsid w:val="009668A6"/>
    <w:rsid w:val="00967AD9"/>
    <w:rsid w:val="00974148"/>
    <w:rsid w:val="00974A1F"/>
    <w:rsid w:val="00976061"/>
    <w:rsid w:val="0098408A"/>
    <w:rsid w:val="009907A3"/>
    <w:rsid w:val="00994F0B"/>
    <w:rsid w:val="00995CFC"/>
    <w:rsid w:val="009A31B0"/>
    <w:rsid w:val="009A548E"/>
    <w:rsid w:val="009B600C"/>
    <w:rsid w:val="009B7DE3"/>
    <w:rsid w:val="009C636A"/>
    <w:rsid w:val="009D1DDA"/>
    <w:rsid w:val="009D34BF"/>
    <w:rsid w:val="009D48C3"/>
    <w:rsid w:val="009E0102"/>
    <w:rsid w:val="009E2BD7"/>
    <w:rsid w:val="009F0B37"/>
    <w:rsid w:val="009F298A"/>
    <w:rsid w:val="009F3B0B"/>
    <w:rsid w:val="009F3B91"/>
    <w:rsid w:val="00A00951"/>
    <w:rsid w:val="00A046F9"/>
    <w:rsid w:val="00A076F7"/>
    <w:rsid w:val="00A17DCB"/>
    <w:rsid w:val="00A236C6"/>
    <w:rsid w:val="00A2536F"/>
    <w:rsid w:val="00A32F73"/>
    <w:rsid w:val="00A33EAC"/>
    <w:rsid w:val="00A3471F"/>
    <w:rsid w:val="00A36328"/>
    <w:rsid w:val="00A377CD"/>
    <w:rsid w:val="00A409E7"/>
    <w:rsid w:val="00A438BD"/>
    <w:rsid w:val="00A505C7"/>
    <w:rsid w:val="00A54392"/>
    <w:rsid w:val="00A650F3"/>
    <w:rsid w:val="00A66269"/>
    <w:rsid w:val="00A67ACE"/>
    <w:rsid w:val="00A70A1E"/>
    <w:rsid w:val="00A711AE"/>
    <w:rsid w:val="00A71C6D"/>
    <w:rsid w:val="00A729D2"/>
    <w:rsid w:val="00A75191"/>
    <w:rsid w:val="00A9139F"/>
    <w:rsid w:val="00A943EA"/>
    <w:rsid w:val="00A9555F"/>
    <w:rsid w:val="00AA137C"/>
    <w:rsid w:val="00AA254E"/>
    <w:rsid w:val="00AB1610"/>
    <w:rsid w:val="00AB373A"/>
    <w:rsid w:val="00AB4044"/>
    <w:rsid w:val="00AC05B8"/>
    <w:rsid w:val="00AC20A7"/>
    <w:rsid w:val="00AD14CA"/>
    <w:rsid w:val="00AD3434"/>
    <w:rsid w:val="00AE012E"/>
    <w:rsid w:val="00AF06E1"/>
    <w:rsid w:val="00AF1970"/>
    <w:rsid w:val="00AF3552"/>
    <w:rsid w:val="00AF664F"/>
    <w:rsid w:val="00B00901"/>
    <w:rsid w:val="00B00F1D"/>
    <w:rsid w:val="00B013FF"/>
    <w:rsid w:val="00B03C65"/>
    <w:rsid w:val="00B10D52"/>
    <w:rsid w:val="00B15AD0"/>
    <w:rsid w:val="00B16040"/>
    <w:rsid w:val="00B168D5"/>
    <w:rsid w:val="00B17CB6"/>
    <w:rsid w:val="00B21E37"/>
    <w:rsid w:val="00B24B0B"/>
    <w:rsid w:val="00B30890"/>
    <w:rsid w:val="00B32977"/>
    <w:rsid w:val="00B35EAB"/>
    <w:rsid w:val="00B363A2"/>
    <w:rsid w:val="00B36D9D"/>
    <w:rsid w:val="00B44694"/>
    <w:rsid w:val="00B5414C"/>
    <w:rsid w:val="00B55AAE"/>
    <w:rsid w:val="00B57284"/>
    <w:rsid w:val="00B613AC"/>
    <w:rsid w:val="00B62DD6"/>
    <w:rsid w:val="00B63FF2"/>
    <w:rsid w:val="00B672AE"/>
    <w:rsid w:val="00B7203C"/>
    <w:rsid w:val="00B73C5A"/>
    <w:rsid w:val="00B73CF8"/>
    <w:rsid w:val="00B74E37"/>
    <w:rsid w:val="00B8052C"/>
    <w:rsid w:val="00B8326E"/>
    <w:rsid w:val="00B84669"/>
    <w:rsid w:val="00B874B0"/>
    <w:rsid w:val="00B92FEC"/>
    <w:rsid w:val="00B96065"/>
    <w:rsid w:val="00B96420"/>
    <w:rsid w:val="00BA08B8"/>
    <w:rsid w:val="00BA1272"/>
    <w:rsid w:val="00BA2097"/>
    <w:rsid w:val="00BB5D55"/>
    <w:rsid w:val="00BB7518"/>
    <w:rsid w:val="00BB7E60"/>
    <w:rsid w:val="00BC681F"/>
    <w:rsid w:val="00BC6901"/>
    <w:rsid w:val="00BC792A"/>
    <w:rsid w:val="00BD0408"/>
    <w:rsid w:val="00BD1D01"/>
    <w:rsid w:val="00BD3917"/>
    <w:rsid w:val="00BD44E1"/>
    <w:rsid w:val="00BD7B76"/>
    <w:rsid w:val="00BE1E95"/>
    <w:rsid w:val="00BE246A"/>
    <w:rsid w:val="00BF2477"/>
    <w:rsid w:val="00BF44D3"/>
    <w:rsid w:val="00C02678"/>
    <w:rsid w:val="00C03083"/>
    <w:rsid w:val="00C03FCD"/>
    <w:rsid w:val="00C052A7"/>
    <w:rsid w:val="00C05985"/>
    <w:rsid w:val="00C05E0B"/>
    <w:rsid w:val="00C11D01"/>
    <w:rsid w:val="00C14C69"/>
    <w:rsid w:val="00C15A23"/>
    <w:rsid w:val="00C16AF5"/>
    <w:rsid w:val="00C23424"/>
    <w:rsid w:val="00C238B8"/>
    <w:rsid w:val="00C32317"/>
    <w:rsid w:val="00C33AD2"/>
    <w:rsid w:val="00C33ED1"/>
    <w:rsid w:val="00C34F07"/>
    <w:rsid w:val="00C3676B"/>
    <w:rsid w:val="00C40BFC"/>
    <w:rsid w:val="00C548E9"/>
    <w:rsid w:val="00C57A00"/>
    <w:rsid w:val="00C619F3"/>
    <w:rsid w:val="00C66967"/>
    <w:rsid w:val="00C72AE6"/>
    <w:rsid w:val="00C733C6"/>
    <w:rsid w:val="00C81874"/>
    <w:rsid w:val="00C83507"/>
    <w:rsid w:val="00C87EA0"/>
    <w:rsid w:val="00C961B9"/>
    <w:rsid w:val="00CB0204"/>
    <w:rsid w:val="00CB34E9"/>
    <w:rsid w:val="00CB64E1"/>
    <w:rsid w:val="00CC03BE"/>
    <w:rsid w:val="00CC4866"/>
    <w:rsid w:val="00CC5F3F"/>
    <w:rsid w:val="00CD4559"/>
    <w:rsid w:val="00CE1E9A"/>
    <w:rsid w:val="00CE7B05"/>
    <w:rsid w:val="00CF044D"/>
    <w:rsid w:val="00CF15DE"/>
    <w:rsid w:val="00CF1FBF"/>
    <w:rsid w:val="00CF4775"/>
    <w:rsid w:val="00D0366B"/>
    <w:rsid w:val="00D043FC"/>
    <w:rsid w:val="00D0769C"/>
    <w:rsid w:val="00D103CA"/>
    <w:rsid w:val="00D25267"/>
    <w:rsid w:val="00D30A05"/>
    <w:rsid w:val="00D32D6E"/>
    <w:rsid w:val="00D33B4F"/>
    <w:rsid w:val="00D35C33"/>
    <w:rsid w:val="00D36300"/>
    <w:rsid w:val="00D53B78"/>
    <w:rsid w:val="00D541FC"/>
    <w:rsid w:val="00D557FA"/>
    <w:rsid w:val="00D62826"/>
    <w:rsid w:val="00D63424"/>
    <w:rsid w:val="00D705C7"/>
    <w:rsid w:val="00D72598"/>
    <w:rsid w:val="00D72A08"/>
    <w:rsid w:val="00D73471"/>
    <w:rsid w:val="00D77B54"/>
    <w:rsid w:val="00D8057F"/>
    <w:rsid w:val="00D818C1"/>
    <w:rsid w:val="00D83049"/>
    <w:rsid w:val="00D86243"/>
    <w:rsid w:val="00D86548"/>
    <w:rsid w:val="00D868D7"/>
    <w:rsid w:val="00D86ED7"/>
    <w:rsid w:val="00D8713B"/>
    <w:rsid w:val="00D90B52"/>
    <w:rsid w:val="00DA4072"/>
    <w:rsid w:val="00DA5EE7"/>
    <w:rsid w:val="00DB2D66"/>
    <w:rsid w:val="00DB398E"/>
    <w:rsid w:val="00DB7C38"/>
    <w:rsid w:val="00DC2DDC"/>
    <w:rsid w:val="00DD4275"/>
    <w:rsid w:val="00DE76F3"/>
    <w:rsid w:val="00DF143F"/>
    <w:rsid w:val="00DF174C"/>
    <w:rsid w:val="00E006DC"/>
    <w:rsid w:val="00E118D9"/>
    <w:rsid w:val="00E1224D"/>
    <w:rsid w:val="00E125B0"/>
    <w:rsid w:val="00E12D9C"/>
    <w:rsid w:val="00E23839"/>
    <w:rsid w:val="00E268F8"/>
    <w:rsid w:val="00E26904"/>
    <w:rsid w:val="00E3261B"/>
    <w:rsid w:val="00E436E8"/>
    <w:rsid w:val="00E44D3A"/>
    <w:rsid w:val="00E4531C"/>
    <w:rsid w:val="00E46806"/>
    <w:rsid w:val="00E51B11"/>
    <w:rsid w:val="00E5410F"/>
    <w:rsid w:val="00E542BC"/>
    <w:rsid w:val="00E56C11"/>
    <w:rsid w:val="00E6151C"/>
    <w:rsid w:val="00E65072"/>
    <w:rsid w:val="00E710F0"/>
    <w:rsid w:val="00E83FF7"/>
    <w:rsid w:val="00E864DF"/>
    <w:rsid w:val="00E8660F"/>
    <w:rsid w:val="00E86CB7"/>
    <w:rsid w:val="00E91234"/>
    <w:rsid w:val="00E912A5"/>
    <w:rsid w:val="00E95470"/>
    <w:rsid w:val="00EA07CA"/>
    <w:rsid w:val="00EA13F8"/>
    <w:rsid w:val="00EA5A10"/>
    <w:rsid w:val="00EB188B"/>
    <w:rsid w:val="00EB4343"/>
    <w:rsid w:val="00EB5D9A"/>
    <w:rsid w:val="00ED3E5B"/>
    <w:rsid w:val="00ED7BAA"/>
    <w:rsid w:val="00EE2117"/>
    <w:rsid w:val="00EE3F5D"/>
    <w:rsid w:val="00EE49F3"/>
    <w:rsid w:val="00EF171C"/>
    <w:rsid w:val="00EF1C87"/>
    <w:rsid w:val="00F052C1"/>
    <w:rsid w:val="00F1049E"/>
    <w:rsid w:val="00F14FB4"/>
    <w:rsid w:val="00F15CED"/>
    <w:rsid w:val="00F27492"/>
    <w:rsid w:val="00F32810"/>
    <w:rsid w:val="00F335E5"/>
    <w:rsid w:val="00F355A9"/>
    <w:rsid w:val="00F355FD"/>
    <w:rsid w:val="00F43181"/>
    <w:rsid w:val="00F5033D"/>
    <w:rsid w:val="00F51E4F"/>
    <w:rsid w:val="00F56A07"/>
    <w:rsid w:val="00F60F58"/>
    <w:rsid w:val="00F61B5F"/>
    <w:rsid w:val="00F6541E"/>
    <w:rsid w:val="00F7313A"/>
    <w:rsid w:val="00F75ED4"/>
    <w:rsid w:val="00F81AD6"/>
    <w:rsid w:val="00F91149"/>
    <w:rsid w:val="00F95CFD"/>
    <w:rsid w:val="00FA03B5"/>
    <w:rsid w:val="00FA2343"/>
    <w:rsid w:val="00FA3F38"/>
    <w:rsid w:val="00FA5919"/>
    <w:rsid w:val="00FB3EB9"/>
    <w:rsid w:val="00FB5D38"/>
    <w:rsid w:val="00FB61A9"/>
    <w:rsid w:val="00FC11DD"/>
    <w:rsid w:val="00FC2170"/>
    <w:rsid w:val="00FC6491"/>
    <w:rsid w:val="00FD0074"/>
    <w:rsid w:val="00FD5361"/>
    <w:rsid w:val="00FD6B92"/>
    <w:rsid w:val="00FD6CFC"/>
    <w:rsid w:val="00FE01DA"/>
    <w:rsid w:val="00FE088A"/>
    <w:rsid w:val="00FE4103"/>
    <w:rsid w:val="00FE4DE5"/>
    <w:rsid w:val="00FF143F"/>
    <w:rsid w:val="00FF4FCC"/>
    <w:rsid w:val="1EA2C8D8"/>
    <w:rsid w:val="24EB6DF8"/>
    <w:rsid w:val="34598454"/>
    <w:rsid w:val="35FFEBB2"/>
    <w:rsid w:val="4DF1303D"/>
    <w:rsid w:val="5220AF7C"/>
    <w:rsid w:val="6C64D7C7"/>
    <w:rsid w:val="729E1822"/>
  </w:rsids>
  <w:docVars>
    <w:docVar w:name="AP Job Title" w:val="Not Assigned"/>
    <w:docVar w:name="AP_Job_Title" w:val="Not Assigned"/>
    <w:docVar w:name="Date Approved" w:val="07/15/2024"/>
    <w:docVar w:name="Date_Approved" w:val="07/15/2024"/>
    <w:docVar w:name="Document Title" w:val="Trial Master File (Sponsor)- 0302- Procedure"/>
    <w:docVar w:name="Document_Title" w:val="Trial Master File (Sponsor)- 0302- Procedure"/>
    <w:docVar w:name="Last Periodic Review Date" w:val="07/15/2024"/>
    <w:docVar w:name="Last_Periodic_Review_Date" w:val="07/15/2024"/>
    <w:docVar w:name="Original Creation Date" w:val="Not Set"/>
    <w:docVar w:name="Original_Creation_Date" w:val="No Original Creation Date Set"/>
    <w:docVar w:name="PO Both" w:val="Audrey King"/>
    <w:docVar w:name="PO_Both" w:val="Audrey King"/>
    <w:docVar w:name="WR Both" w:val="Amy Hummel, Julie Holub, Theresa Goddard"/>
    <w:docVar w:name="WR Department" w:val="MEDCCI Yale Center for Clinical Investigation (YCCI)"/>
    <w:docVar w:name="WR_Both" w:val="Amy Hummel, Julie Holub, Theresa Goddard"/>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9ED540"/>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6E2644"/>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6E2644"/>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6E2644"/>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6E2644"/>
    <w:rPr>
      <w:rFonts w:ascii="Arial" w:hAnsi="Arial"/>
      <w:b/>
      <w:sz w:val="24"/>
    </w:rPr>
  </w:style>
  <w:style w:type="character" w:customStyle="1" w:styleId="ListParagraphChar">
    <w:name w:val="List Paragraph Char"/>
    <w:basedOn w:val="DefaultParagraphFont"/>
    <w:link w:val="ListParagraph"/>
    <w:uiPriority w:val="34"/>
    <w:rsid w:val="00A66269"/>
    <w:rPr>
      <w:rFonts w:ascii="Arial" w:hAnsi="Arial"/>
    </w:rPr>
  </w:style>
  <w:style w:type="character" w:customStyle="1" w:styleId="Hyperlink0">
    <w:name w:val="Hyperlink.0"/>
    <w:basedOn w:val="DefaultParagraphFont"/>
    <w:rsid w:val="006E5D3B"/>
    <w:rPr>
      <w:lang w:val="en-US"/>
    </w:rPr>
  </w:style>
  <w:style w:type="paragraph" w:styleId="Revision">
    <w:name w:val="Revision"/>
    <w:hidden/>
    <w:uiPriority w:val="99"/>
    <w:semiHidden/>
    <w:rsid w:val="00C14C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ycci.sop@yale.edu" TargetMode="Externa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6.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microsoft.com/office/2006/relationships/keyMapCustomizations" Target="customizations.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3.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1417</Words>
  <Characters>7934</Characters>
  <Application>Microsoft Office Word</Application>
  <DocSecurity>0</DocSecurity>
  <Lines>158</Lines>
  <Paragraphs>85</Paragraphs>
  <ScaleCrop>false</ScaleCrop>
  <HeadingPairs>
    <vt:vector size="2" baseType="variant">
      <vt:variant>
        <vt:lpstr>Title</vt:lpstr>
      </vt:variant>
      <vt:variant>
        <vt:i4>1</vt:i4>
      </vt:variant>
    </vt:vector>
  </HeadingPairs>
  <TitlesOfParts>
    <vt:vector size="1" baseType="lpstr">
      <vt:lpstr>University Procedure Template</vt:lpstr>
    </vt:vector>
  </TitlesOfParts>
  <Company>Yale University</Company>
  <LinksUpToDate>false</LinksUpToDate>
  <CharactersWithSpaces>9266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Trial Master File (Sponsor)- 0302- Procedure</dc:title>
  <dc:creator>Jarosz, Michael</dc:creator>
  <lastModifiedBy>King, Audrey</lastModifiedBy>
  <revision>18</revision>
  <lastPrinted>2015-08-17T19:38:00.0000000Z</lastPrinted>
  <dcterms:created xsi:type="dcterms:W3CDTF">2024-06-28T13:51:00.0000000Z</dcterms:created>
  <dcterms:modified xsi:type="dcterms:W3CDTF">2026-02-16T16:35:00.0000000Z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bb013383809e33ed843d8f6f77ad4f988f6e5f01f8b79806fdf1da08dce47f00</vt:lpwstr>
  </property>
</Properties>
</file>