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D30563" w:rsidRPr="00701E57" w:rsidP="00D30563" w14:paraId="0F1924B4" w14:textId="77777777">
      <w:pPr>
        <w:rPr>
          <w:rFonts w:ascii="Arial" w:hAnsi="Arial" w:cs="Arial"/>
          <w:sz w:val="20"/>
        </w:rPr>
        <w:sectPr w:rsidSect="00E5410F">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D30563" w:rsidRPr="007E49BE" w:rsidP="007E49BE" w14:paraId="254535BB" w14:textId="77777777">
      <w:pPr>
        <w:pStyle w:val="SectionHeading"/>
        <w:numPr>
          <w:ilvl w:val="0"/>
          <w:numId w:val="26"/>
        </w:numPr>
        <w:spacing w:after="240"/>
        <w:ind w:left="720" w:hanging="720"/>
        <w:rPr>
          <w:color w:val="365F91" w:themeColor="accent1" w:themeShade="BF"/>
          <w:sz w:val="28"/>
          <w:szCs w:val="28"/>
        </w:rPr>
        <w:sectPr w:rsidSect="00641FF8">
          <w:footerReference w:type="default" r:id="rId12"/>
          <w:headerReference w:type="first" r:id="rId13"/>
          <w:footerReference w:type="first" r:id="rId14"/>
          <w:type w:val="continuous"/>
          <w:pgSz w:w="12240" w:h="15840" w:orient="portrait" w:code="1"/>
          <w:pgMar w:top="1440" w:right="1440" w:bottom="1440" w:left="1440" w:header="720" w:footer="720" w:gutter="0"/>
          <w:cols w:space="720"/>
          <w:titlePg/>
        </w:sectPr>
      </w:pPr>
      <w:r w:rsidRPr="007E49BE">
        <w:rPr>
          <w:color w:val="365F91" w:themeColor="accent1" w:themeShade="BF"/>
          <w:sz w:val="28"/>
          <w:szCs w:val="28"/>
        </w:rPr>
        <w:t>Scope</w:t>
      </w:r>
    </w:p>
    <w:p w:rsidR="00D30563" w:rsidRPr="003167C8" w:rsidP="00D30563" w14:paraId="6B2B1DA0" w14:textId="7089E157">
      <w:pPr>
        <w:spacing w:line="276" w:lineRule="auto"/>
        <w:ind w:left="720"/>
        <w:rPr>
          <w:rFonts w:ascii="Arial" w:hAnsi="Arial" w:cs="Arial"/>
          <w:sz w:val="20"/>
        </w:rPr>
      </w:pPr>
      <w:r w:rsidRPr="00701E57">
        <w:rPr>
          <w:rFonts w:ascii="Arial" w:hAnsi="Arial" w:cs="Arial"/>
          <w:sz w:val="20"/>
        </w:rPr>
        <w:t xml:space="preserve">This Standard Operating Procedure applies to all trials being managed by </w:t>
      </w:r>
      <w:ins w:id="1" w:author="Shelton, Nancy" w:date="2024-09-11T14:53:00Z">
        <w:r>
          <w:rPr>
            <w:rFonts w:ascii="Arial" w:hAnsi="Arial" w:cs="Arial"/>
            <w:sz w:val="20"/>
          </w:rPr>
          <w:t xml:space="preserve">the </w:t>
        </w:r>
      </w:ins>
      <w:r w:rsidRPr="00701E57">
        <w:rPr>
          <w:rFonts w:ascii="Arial" w:hAnsi="Arial" w:cs="Arial"/>
          <w:sz w:val="20"/>
        </w:rPr>
        <w:t>Yale Center for Clinical Investigation (YCCI) Clinical Trials Project Management (CTPM)</w:t>
      </w:r>
      <w:r>
        <w:rPr>
          <w:rFonts w:ascii="Arial" w:hAnsi="Arial" w:cs="Arial"/>
          <w:sz w:val="20"/>
        </w:rPr>
        <w:t>.</w:t>
      </w:r>
    </w:p>
    <w:p w:rsidR="00D30563" w:rsidRPr="007E49BE" w:rsidP="00D30563" w14:paraId="701C6308" w14:textId="77777777">
      <w:pPr>
        <w:pStyle w:val="SectionHeading"/>
        <w:numPr>
          <w:ilvl w:val="0"/>
          <w:numId w:val="26"/>
        </w:numPr>
        <w:spacing w:before="240" w:after="240" w:line="276" w:lineRule="auto"/>
        <w:ind w:left="720" w:hanging="720"/>
        <w:rPr>
          <w:color w:val="365F91" w:themeColor="accent1" w:themeShade="BF"/>
          <w:sz w:val="28"/>
          <w:szCs w:val="28"/>
        </w:rPr>
        <w:sectPr w:rsidSect="00641FF8">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7E49BE">
        <w:rPr>
          <w:color w:val="365F91" w:themeColor="accent1" w:themeShade="BF"/>
          <w:sz w:val="28"/>
          <w:szCs w:val="28"/>
        </w:rPr>
        <w:t>Purpose</w:t>
      </w:r>
    </w:p>
    <w:p w:rsidR="00124484" w:rsidRPr="00124484" w:rsidP="00124484" w14:paraId="4E810051" w14:textId="02380614">
      <w:pPr>
        <w:spacing w:line="276" w:lineRule="auto"/>
        <w:ind w:left="720"/>
        <w:rPr>
          <w:rFonts w:ascii="Arial" w:hAnsi="Arial" w:cs="Arial"/>
          <w:sz w:val="20"/>
        </w:rPr>
      </w:pPr>
      <w:r w:rsidRPr="00124484">
        <w:rPr>
          <w:rFonts w:ascii="Arial" w:hAnsi="Arial" w:cs="Arial"/>
          <w:color w:val="000000"/>
          <w:sz w:val="20"/>
        </w:rPr>
        <w:t xml:space="preserve">Yale Center for Clinical Investigation (YCCI) Clinical Trials Project Management will work with applicable members of the Sponsor team, and external stakeholders </w:t>
      </w:r>
      <w:del w:id="2" w:author="Shelton, Nancy" w:date="2024-09-11T14:54:00Z">
        <w:r w:rsidRPr="00124484">
          <w:rPr>
            <w:rFonts w:ascii="Arial" w:hAnsi="Arial" w:cs="Arial"/>
            <w:color w:val="000000"/>
            <w:sz w:val="20"/>
          </w:rPr>
          <w:delText xml:space="preserve">as </w:delText>
        </w:r>
      </w:del>
      <w:ins w:id="3" w:author="Shelton, Nancy" w:date="2024-09-11T14:54:00Z">
        <w:r>
          <w:rPr>
            <w:rFonts w:ascii="Arial" w:hAnsi="Arial" w:cs="Arial"/>
            <w:color w:val="000000"/>
            <w:sz w:val="20"/>
          </w:rPr>
          <w:t>if</w:t>
        </w:r>
      </w:ins>
      <w:ins w:id="4" w:author="Shelton, Nancy" w:date="2024-09-11T14:54:00Z">
        <w:r w:rsidRPr="00124484">
          <w:rPr>
            <w:rFonts w:ascii="Arial" w:hAnsi="Arial" w:cs="Arial"/>
            <w:color w:val="000000"/>
            <w:sz w:val="20"/>
          </w:rPr>
          <w:t xml:space="preserve"> </w:t>
        </w:r>
      </w:ins>
      <w:r w:rsidRPr="00124484">
        <w:rPr>
          <w:rFonts w:ascii="Arial" w:hAnsi="Arial" w:cs="Arial"/>
          <w:color w:val="000000"/>
          <w:sz w:val="20"/>
        </w:rPr>
        <w:t xml:space="preserve">appropriate, to ensure </w:t>
      </w:r>
      <w:r w:rsidRPr="00124484" w:rsidR="00245BD7">
        <w:rPr>
          <w:rFonts w:ascii="Arial" w:hAnsi="Arial" w:cs="Arial"/>
          <w:color w:val="000000"/>
          <w:sz w:val="20"/>
        </w:rPr>
        <w:t xml:space="preserve">close-out procedures </w:t>
      </w:r>
      <w:r w:rsidR="00245BD7">
        <w:rPr>
          <w:rFonts w:ascii="Arial" w:hAnsi="Arial" w:cs="Arial"/>
          <w:color w:val="000000"/>
          <w:sz w:val="20"/>
        </w:rPr>
        <w:t xml:space="preserve">are </w:t>
      </w:r>
      <w:r w:rsidRPr="00124484">
        <w:rPr>
          <w:rFonts w:ascii="Arial" w:hAnsi="Arial" w:cs="Arial"/>
          <w:color w:val="000000"/>
          <w:sz w:val="20"/>
        </w:rPr>
        <w:t>complete and document</w:t>
      </w:r>
      <w:r w:rsidR="007125BF">
        <w:rPr>
          <w:rFonts w:ascii="Arial" w:hAnsi="Arial" w:cs="Arial"/>
          <w:color w:val="000000"/>
          <w:sz w:val="20"/>
        </w:rPr>
        <w:t>ed</w:t>
      </w:r>
      <w:r w:rsidRPr="00124484">
        <w:rPr>
          <w:rFonts w:ascii="Arial" w:hAnsi="Arial" w:cs="Arial"/>
          <w:color w:val="000000"/>
          <w:sz w:val="20"/>
        </w:rPr>
        <w:t xml:space="preserve"> in accordance with applicable regulations.</w:t>
      </w:r>
    </w:p>
    <w:p w:rsidR="003B76A4" w:rsidRPr="007E49BE" w:rsidP="003B76A4" w14:paraId="0EBEFBF1" w14:textId="63F724DB">
      <w:pPr>
        <w:pStyle w:val="SectionHeading"/>
        <w:numPr>
          <w:ilvl w:val="0"/>
          <w:numId w:val="26"/>
        </w:numPr>
        <w:spacing w:before="240" w:after="240" w:line="276" w:lineRule="auto"/>
        <w:ind w:left="720" w:hanging="720"/>
        <w:rPr>
          <w:color w:val="365F91" w:themeColor="accent1" w:themeShade="BF"/>
          <w:sz w:val="28"/>
          <w:szCs w:val="28"/>
        </w:rPr>
        <w:sectPr w:rsidSect="00641FF8">
          <w:footerReference w:type="default" r:id="rId18"/>
          <w:headerReference w:type="first" r:id="rId19"/>
          <w:footerReference w:type="first" r:id="rId20"/>
          <w:type w:val="continuous"/>
          <w:pgSz w:w="12240" w:h="15840" w:orient="portrait" w:code="1"/>
          <w:pgMar w:top="1440" w:right="1440" w:bottom="1440" w:left="1440" w:header="720" w:footer="720" w:gutter="0"/>
          <w:cols w:space="720"/>
          <w:titlePg/>
        </w:sectPr>
      </w:pPr>
      <w:r w:rsidRPr="007E49BE">
        <w:rPr>
          <w:color w:val="365F91" w:themeColor="accent1" w:themeShade="BF"/>
          <w:sz w:val="28"/>
          <w:szCs w:val="28"/>
        </w:rPr>
        <w:t>Definitions and Abbreviations</w:t>
      </w:r>
    </w:p>
    <w:p w:rsidR="0093328C" w:rsidP="0093328C" w14:paraId="7A4EF59D" w14:textId="77777777">
      <w:pPr>
        <w:spacing w:line="276" w:lineRule="auto"/>
        <w:ind w:left="720"/>
        <w:rPr>
          <w:rStyle w:val="eop"/>
          <w:rFonts w:ascii="Arial" w:hAnsi="Arial" w:cs="Arial"/>
          <w:color w:val="000000"/>
          <w:sz w:val="20"/>
          <w:shd w:val="clear" w:color="auto" w:fill="FFFFFF"/>
        </w:rPr>
      </w:pPr>
      <w:r w:rsidRPr="0093328C">
        <w:rPr>
          <w:rFonts w:ascii="Arial" w:hAnsi="Arial" w:cs="Arial"/>
          <w:b/>
          <w:bCs/>
          <w:sz w:val="20"/>
        </w:rPr>
        <w:t>International Council for Harmonisation (ICH) Good Clinical Practice (GCP)</w:t>
      </w:r>
      <w:r w:rsidRPr="0093328C">
        <w:rPr>
          <w:rFonts w:ascii="Arial" w:hAnsi="Arial" w:cs="Arial"/>
          <w:sz w:val="20"/>
        </w:rPr>
        <w:t xml:space="preserve"> - </w:t>
      </w:r>
      <w:r w:rsidRPr="0093328C">
        <w:rPr>
          <w:rStyle w:val="normaltextrun"/>
          <w:rFonts w:ascii="Arial" w:hAnsi="Arial" w:cs="Arial"/>
          <w:color w:val="000000"/>
          <w:sz w:val="20"/>
          <w:shd w:val="clear" w:color="auto" w:fill="FFFFFF"/>
        </w:rPr>
        <w:t xml:space="preserve">An </w:t>
      </w:r>
      <w:r w:rsidRPr="0093328C">
        <w:rPr>
          <w:rStyle w:val="normaltextrun"/>
          <w:rFonts w:ascii="Arial" w:hAnsi="Arial" w:cs="Arial"/>
          <w:color w:val="000000"/>
          <w:sz w:val="20"/>
          <w:shd w:val="clear" w:color="auto" w:fill="FFFFFF"/>
        </w:rPr>
        <w:t>international ethical and scientific quality standard for the design, conduct, performance, monitoring, auditing, recording, analyses, and reporting of clinical trials that provides assurance that the data and reported results are credible and accurate, and that the rights, integrity, and confidentiality of trial subjects are protected.</w:t>
      </w:r>
      <w:r w:rsidRPr="0093328C">
        <w:rPr>
          <w:rStyle w:val="eop"/>
          <w:rFonts w:ascii="Arial" w:hAnsi="Arial" w:cs="Arial"/>
          <w:color w:val="000000"/>
          <w:sz w:val="20"/>
          <w:shd w:val="clear" w:color="auto" w:fill="FFFFFF"/>
        </w:rPr>
        <w:t> </w:t>
      </w:r>
    </w:p>
    <w:p w:rsidR="00A86DEF" w:rsidP="0093328C" w14:paraId="5B41FDEA" w14:textId="77777777">
      <w:pPr>
        <w:spacing w:line="276" w:lineRule="auto"/>
        <w:ind w:left="720"/>
        <w:rPr>
          <w:rStyle w:val="eop"/>
          <w:rFonts w:ascii="Arial" w:hAnsi="Arial" w:cs="Arial"/>
          <w:color w:val="000000"/>
          <w:sz w:val="20"/>
          <w:shd w:val="clear" w:color="auto" w:fill="FFFFFF"/>
        </w:rPr>
      </w:pPr>
    </w:p>
    <w:p w:rsidR="006F3221" w:rsidP="006F3221" w14:paraId="1E861F87" w14:textId="77777777">
      <w:pPr>
        <w:spacing w:line="276" w:lineRule="auto"/>
        <w:ind w:left="720"/>
        <w:rPr>
          <w:rFonts w:ascii="Arial" w:hAnsi="Arial" w:cs="Arial"/>
          <w:b/>
          <w:bCs/>
          <w:sz w:val="20"/>
        </w:rPr>
      </w:pPr>
      <w:r w:rsidRPr="001F60D1">
        <w:rPr>
          <w:rStyle w:val="Hyperlink0"/>
          <w:rFonts w:ascii="Arial" w:hAnsi="Arial" w:cs="Arial"/>
          <w:b/>
          <w:bCs/>
          <w:sz w:val="20"/>
        </w:rPr>
        <w:t>Investigational Device Exemption (IDE)</w:t>
      </w:r>
      <w:r w:rsidRPr="001F60D1">
        <w:rPr>
          <w:rStyle w:val="Hyperlink0"/>
          <w:rFonts w:ascii="Arial" w:hAnsi="Arial" w:cs="Arial"/>
          <w:sz w:val="20"/>
        </w:rPr>
        <w:t xml:space="preserve"> - Refers to </w:t>
      </w:r>
      <w:r>
        <w:rPr>
          <w:rStyle w:val="Hyperlink0"/>
          <w:rFonts w:ascii="Arial" w:hAnsi="Arial" w:cs="Arial"/>
          <w:sz w:val="20"/>
        </w:rPr>
        <w:t xml:space="preserve">applications subject to </w:t>
      </w:r>
      <w:r w:rsidRPr="001F60D1">
        <w:rPr>
          <w:rStyle w:val="Hyperlink0"/>
          <w:rFonts w:ascii="Arial" w:hAnsi="Arial" w:cs="Arial"/>
          <w:sz w:val="20"/>
        </w:rPr>
        <w:t xml:space="preserve">the regulations in 21 CFR 812. An approved IDE means the IRB (and the FDA, for </w:t>
      </w:r>
      <w:r>
        <w:rPr>
          <w:rStyle w:val="Hyperlink0"/>
          <w:rFonts w:ascii="Arial" w:hAnsi="Arial" w:cs="Arial"/>
          <w:sz w:val="20"/>
        </w:rPr>
        <w:t xml:space="preserve">SR </w:t>
      </w:r>
      <w:r w:rsidRPr="001F60D1">
        <w:rPr>
          <w:rStyle w:val="Hyperlink0"/>
          <w:rFonts w:ascii="Arial" w:hAnsi="Arial" w:cs="Arial"/>
          <w:sz w:val="20"/>
        </w:rPr>
        <w:t>device</w:t>
      </w:r>
      <w:r>
        <w:rPr>
          <w:rStyle w:val="Hyperlink0"/>
          <w:rFonts w:ascii="Arial" w:hAnsi="Arial" w:cs="Arial"/>
          <w:sz w:val="20"/>
        </w:rPr>
        <w:t xml:space="preserve"> investigation</w:t>
      </w:r>
      <w:r w:rsidRPr="001F60D1">
        <w:rPr>
          <w:rStyle w:val="Hyperlink0"/>
          <w:rFonts w:ascii="Arial" w:hAnsi="Arial" w:cs="Arial"/>
          <w:sz w:val="20"/>
        </w:rPr>
        <w:t>s) has approved a Sponsor's clinical investigation application</w:t>
      </w:r>
      <w:r>
        <w:rPr>
          <w:rStyle w:val="Hyperlink0"/>
          <w:rFonts w:ascii="Arial" w:hAnsi="Arial" w:cs="Arial"/>
          <w:sz w:val="20"/>
        </w:rPr>
        <w:t xml:space="preserve"> and</w:t>
      </w:r>
      <w:r w:rsidRPr="001F60D1">
        <w:rPr>
          <w:rStyle w:val="Hyperlink0"/>
          <w:rFonts w:ascii="Arial" w:hAnsi="Arial" w:cs="Arial"/>
          <w:sz w:val="20"/>
        </w:rPr>
        <w:t xml:space="preserve"> all </w:t>
      </w:r>
      <w:r>
        <w:rPr>
          <w:rStyle w:val="Hyperlink0"/>
          <w:rFonts w:ascii="Arial" w:hAnsi="Arial" w:cs="Arial"/>
          <w:sz w:val="20"/>
        </w:rPr>
        <w:t>applicable</w:t>
      </w:r>
      <w:r w:rsidRPr="001F60D1">
        <w:rPr>
          <w:rStyle w:val="Hyperlink0"/>
          <w:rFonts w:ascii="Arial" w:hAnsi="Arial" w:cs="Arial"/>
          <w:sz w:val="20"/>
        </w:rPr>
        <w:t xml:space="preserve"> requirements under 21 CFR 812 are met.</w:t>
      </w:r>
    </w:p>
    <w:p w:rsidR="009E5667" w:rsidP="00A86DEF" w14:paraId="7FAA21F7" w14:textId="77777777">
      <w:pPr>
        <w:spacing w:line="276" w:lineRule="auto"/>
        <w:ind w:left="720"/>
        <w:jc w:val="both"/>
        <w:rPr>
          <w:rFonts w:ascii="Arial" w:hAnsi="Arial" w:cs="Arial"/>
          <w:b/>
          <w:bCs/>
          <w:sz w:val="20"/>
        </w:rPr>
      </w:pPr>
    </w:p>
    <w:p w:rsidR="009E5667" w:rsidRPr="00003981" w:rsidP="009E5667" w14:paraId="61D4E24F" w14:textId="77777777">
      <w:pPr>
        <w:spacing w:line="276" w:lineRule="auto"/>
        <w:ind w:left="720"/>
        <w:rPr>
          <w:rFonts w:ascii="Arial" w:hAnsi="Arial" w:cs="Arial"/>
          <w:sz w:val="20"/>
        </w:rPr>
      </w:pPr>
      <w:r w:rsidRPr="00CA7DA2">
        <w:rPr>
          <w:rFonts w:ascii="Arial" w:hAnsi="Arial" w:cs="Arial"/>
          <w:b/>
          <w:bCs/>
          <w:sz w:val="20"/>
        </w:rPr>
        <w:t xml:space="preserve">Investigational New Drug </w:t>
      </w:r>
      <w:r>
        <w:rPr>
          <w:rFonts w:ascii="Arial" w:hAnsi="Arial" w:cs="Arial"/>
          <w:b/>
          <w:bCs/>
          <w:sz w:val="20"/>
        </w:rPr>
        <w:t>(IND</w:t>
      </w:r>
      <w:r w:rsidRPr="00CA7DA2">
        <w:rPr>
          <w:rFonts w:ascii="Arial" w:hAnsi="Arial" w:cs="Arial"/>
          <w:b/>
          <w:bCs/>
          <w:sz w:val="20"/>
        </w:rPr>
        <w:t xml:space="preserve">) - </w:t>
      </w:r>
      <w:r w:rsidRPr="00003981">
        <w:rPr>
          <w:rFonts w:ascii="Arial" w:hAnsi="Arial" w:cs="Arial"/>
          <w:sz w:val="20"/>
        </w:rPr>
        <w:t xml:space="preserve">Refers to </w:t>
      </w:r>
      <w:r>
        <w:rPr>
          <w:rFonts w:ascii="Arial" w:hAnsi="Arial" w:cs="Arial"/>
          <w:sz w:val="20"/>
        </w:rPr>
        <w:t xml:space="preserve">applications subject to </w:t>
      </w:r>
      <w:r w:rsidRPr="00003981">
        <w:rPr>
          <w:rFonts w:ascii="Arial" w:hAnsi="Arial" w:cs="Arial"/>
          <w:sz w:val="20"/>
        </w:rPr>
        <w:t>the regulations in 21 CFR 312. An IND that is in effect means that 30 days have elapsed from the date that a complete IND application was submitted to the FDA</w:t>
      </w:r>
      <w:r>
        <w:rPr>
          <w:rFonts w:ascii="Arial" w:hAnsi="Arial" w:cs="Arial"/>
          <w:sz w:val="20"/>
        </w:rPr>
        <w:t xml:space="preserve"> and the FDA has not notified the Sponsor that the investigation(s) described therein are on clinical hold</w:t>
      </w:r>
      <w:r w:rsidRPr="00003981">
        <w:rPr>
          <w:rFonts w:ascii="Arial" w:hAnsi="Arial" w:cs="Arial"/>
          <w:sz w:val="20"/>
        </w:rPr>
        <w:t>.</w:t>
      </w:r>
    </w:p>
    <w:p w:rsidR="009E5667" w:rsidRPr="00701E57" w:rsidP="009E5667" w14:paraId="3E51AD91" w14:textId="77777777">
      <w:pPr>
        <w:spacing w:line="276" w:lineRule="auto"/>
        <w:rPr>
          <w:rFonts w:ascii="Arial" w:hAnsi="Arial" w:cs="Arial"/>
          <w:sz w:val="20"/>
        </w:rPr>
      </w:pPr>
    </w:p>
    <w:p w:rsidR="003B76A4" w:rsidRPr="006A6ABC" w:rsidP="1E72377C" w14:paraId="3EFC1818" w14:textId="5BC1AA4B">
      <w:pPr>
        <w:ind w:left="720"/>
        <w:rPr>
          <w:rFonts w:ascii="Arial" w:hAnsi="Arial" w:cs="Arial"/>
          <w:sz w:val="20"/>
          <w:szCs w:val="20"/>
        </w:rPr>
      </w:pPr>
      <w:r w:rsidRPr="1E72377C" w:rsidR="1E72377C">
        <w:rPr>
          <w:rFonts w:ascii="Arial" w:hAnsi="Arial" w:cs="Arial"/>
          <w:b/>
          <w:bCs/>
          <w:sz w:val="20"/>
          <w:szCs w:val="20"/>
        </w:rPr>
        <w:t>Sponsor</w:t>
      </w:r>
      <w:r w:rsidRPr="1E72377C" w:rsidR="1E72377C">
        <w:rPr>
          <w:rFonts w:ascii="Arial" w:hAnsi="Arial" w:cs="Arial"/>
          <w:sz w:val="20"/>
          <w:szCs w:val="20"/>
        </w:rPr>
        <w:t xml:space="preserve"> - an individual, company, institution or organization that takes responsibility for the initiation, </w:t>
      </w:r>
      <w:r w:rsidRPr="1E72377C" w:rsidR="1E72377C">
        <w:rPr>
          <w:rFonts w:ascii="Arial" w:hAnsi="Arial" w:cs="Arial"/>
          <w:sz w:val="20"/>
          <w:szCs w:val="20"/>
        </w:rPr>
        <w:t>management</w:t>
      </w:r>
      <w:r w:rsidRPr="1E72377C" w:rsidR="1E72377C">
        <w:rPr>
          <w:rFonts w:ascii="Arial" w:hAnsi="Arial" w:cs="Arial"/>
          <w:sz w:val="20"/>
          <w:szCs w:val="20"/>
        </w:rPr>
        <w:t xml:space="preserve"> and arrangement of the financing of a clinical trial. A clinical trial may have one or several sponsors </w:t>
      </w:r>
      <w:r w:rsidRPr="1E72377C" w:rsidR="1E72377C">
        <w:rPr>
          <w:rFonts w:ascii="Arial" w:hAnsi="Arial" w:cs="Arial"/>
          <w:sz w:val="20"/>
          <w:szCs w:val="20"/>
        </w:rPr>
        <w:t>where</w:t>
      </w:r>
      <w:r w:rsidRPr="1E72377C" w:rsidR="1E72377C">
        <w:rPr>
          <w:rFonts w:ascii="Arial" w:hAnsi="Arial" w:cs="Arial"/>
          <w:sz w:val="20"/>
          <w:szCs w:val="20"/>
        </w:rPr>
        <w:t xml:space="preserve"> </w:t>
      </w:r>
      <w:r w:rsidRPr="1E72377C" w:rsidR="1E72377C">
        <w:rPr>
          <w:rFonts w:ascii="Arial" w:hAnsi="Arial" w:cs="Arial"/>
          <w:sz w:val="20"/>
          <w:szCs w:val="20"/>
        </w:rPr>
        <w:t>permitted</w:t>
      </w:r>
      <w:r w:rsidRPr="1E72377C" w:rsidR="1E72377C">
        <w:rPr>
          <w:rFonts w:ascii="Arial" w:hAnsi="Arial" w:cs="Arial"/>
          <w:sz w:val="20"/>
          <w:szCs w:val="20"/>
        </w:rPr>
        <w:t xml:space="preserve"> under regulatory requirements. All sponsors have the responsibilities of a sponsor set out in this guideline. </w:t>
      </w:r>
      <w:r w:rsidRPr="1E72377C" w:rsidR="1E72377C">
        <w:rPr>
          <w:rFonts w:ascii="Arial" w:hAnsi="Arial" w:cs="Arial"/>
          <w:sz w:val="20"/>
          <w:szCs w:val="20"/>
        </w:rPr>
        <w:t>In accordance with</w:t>
      </w:r>
      <w:r w:rsidRPr="1E72377C" w:rsidR="1E72377C">
        <w:rPr>
          <w:rFonts w:ascii="Arial" w:hAnsi="Arial" w:cs="Arial"/>
          <w:sz w:val="20"/>
          <w:szCs w:val="20"/>
        </w:rPr>
        <w:t xml:space="preserve"> applicable regulatory requirements, sponsors may decide in a documented agreement setting out their respective responsibilities. Where the documented agreement does not specify to which sponsor a given responsibility is attributed, that responsibility lies with all sponsors.</w:t>
      </w:r>
    </w:p>
    <w:p w:rsidR="003B76A4" w:rsidRPr="00701E57" w:rsidP="003B76A4" w14:paraId="683533C6" w14:textId="77777777">
      <w:pPr>
        <w:spacing w:line="276" w:lineRule="auto"/>
        <w:ind w:left="720"/>
        <w:rPr>
          <w:rFonts w:ascii="Arial" w:hAnsi="Arial" w:cs="Arial"/>
          <w:i/>
          <w:sz w:val="20"/>
        </w:rPr>
      </w:pPr>
    </w:p>
    <w:p w:rsidR="003B76A4" w:rsidRPr="00701E57" w:rsidP="1E72377C" w14:paraId="5C1011B6" w14:textId="1CA88553">
      <w:pPr>
        <w:spacing w:line="276" w:lineRule="auto"/>
        <w:ind w:left="720"/>
        <w:rPr>
          <w:rFonts w:ascii="Arial" w:hAnsi="Arial" w:cs="Arial"/>
          <w:sz w:val="20"/>
          <w:szCs w:val="20"/>
        </w:rPr>
      </w:pPr>
      <w:r w:rsidRPr="1E72377C" w:rsidR="1E72377C">
        <w:rPr>
          <w:rFonts w:ascii="Arial" w:hAnsi="Arial" w:cs="Arial"/>
          <w:b/>
          <w:bCs/>
          <w:sz w:val="20"/>
          <w:szCs w:val="20"/>
        </w:rPr>
        <w:t>Sponsor-Investigator</w:t>
      </w:r>
      <w:r w:rsidRPr="1E72377C" w:rsidR="1E72377C">
        <w:rPr>
          <w:rFonts w:ascii="Arial" w:hAnsi="Arial" w:cs="Arial"/>
          <w:i/>
          <w:iCs/>
          <w:sz w:val="20"/>
          <w:szCs w:val="20"/>
        </w:rPr>
        <w:t xml:space="preserve"> </w:t>
      </w:r>
      <w:r w:rsidRPr="1E72377C" w:rsidR="1E72377C">
        <w:rPr>
          <w:rFonts w:ascii="Arial" w:hAnsi="Arial" w:cs="Arial"/>
          <w:sz w:val="20"/>
          <w:szCs w:val="20"/>
        </w:rPr>
        <w:t xml:space="preserve">- an individual who both initiates and conducts, alone or with others, a clinical trial, and under whose immediate direction the investigational product is administered to, dispensed </w:t>
      </w:r>
      <w:r w:rsidRPr="1E72377C" w:rsidR="1E72377C">
        <w:rPr>
          <w:rFonts w:ascii="Arial" w:hAnsi="Arial" w:cs="Arial"/>
          <w:sz w:val="20"/>
          <w:szCs w:val="20"/>
        </w:rPr>
        <w:t>to</w:t>
      </w:r>
      <w:r w:rsidRPr="1E72377C" w:rsidR="1E72377C">
        <w:rPr>
          <w:rFonts w:ascii="Arial" w:hAnsi="Arial" w:cs="Arial"/>
          <w:sz w:val="20"/>
          <w:szCs w:val="20"/>
        </w:rPr>
        <w:t xml:space="preserve"> or used by a participant. The term does not include any person other than an individual (e.g., the term does not include a corporation or an agency). The obligations of a sponsor-investigator include both those of a sponsor and those of an investigator.</w:t>
      </w:r>
    </w:p>
    <w:p w:rsidR="003B76A4" w:rsidRPr="00701E57" w:rsidP="003B76A4" w14:paraId="6F846AB3" w14:textId="77777777">
      <w:pPr>
        <w:spacing w:line="276" w:lineRule="auto"/>
        <w:ind w:left="720"/>
        <w:rPr>
          <w:rFonts w:ascii="Arial" w:hAnsi="Arial" w:cs="Arial"/>
          <w:i/>
          <w:sz w:val="20"/>
        </w:rPr>
      </w:pPr>
    </w:p>
    <w:p w:rsidR="003B76A4" w:rsidP="003B76A4" w14:paraId="45FE5155" w14:textId="77777777">
      <w:pPr>
        <w:autoSpaceDE w:val="0"/>
        <w:autoSpaceDN w:val="0"/>
        <w:adjustRightInd w:val="0"/>
        <w:spacing w:line="276" w:lineRule="auto"/>
        <w:ind w:left="720"/>
        <w:rPr>
          <w:rFonts w:ascii="Arial" w:hAnsi="Arial" w:eastAsiaTheme="minorEastAsia" w:cs="Arial"/>
          <w:sz w:val="20"/>
        </w:rPr>
      </w:pPr>
      <w:r w:rsidRPr="00211124">
        <w:rPr>
          <w:rFonts w:ascii="Arial" w:hAnsi="Arial" w:eastAsiaTheme="minorEastAsia" w:cs="Arial"/>
          <w:b/>
          <w:bCs/>
          <w:sz w:val="20"/>
        </w:rPr>
        <w:t>Trial Master File (TMF)</w:t>
      </w:r>
      <w:r w:rsidRPr="00701E57">
        <w:rPr>
          <w:rFonts w:ascii="Arial" w:hAnsi="Arial" w:eastAsiaTheme="minorEastAsia" w:cs="Arial"/>
          <w:i/>
          <w:iCs/>
          <w:sz w:val="20"/>
        </w:rPr>
        <w:t xml:space="preserve"> - </w:t>
      </w:r>
      <w:r>
        <w:rPr>
          <w:rFonts w:ascii="Arial" w:hAnsi="Arial" w:eastAsiaTheme="minorEastAsia" w:cs="Arial"/>
          <w:sz w:val="20"/>
        </w:rPr>
        <w:t>a</w:t>
      </w:r>
      <w:r w:rsidRPr="00701E57">
        <w:rPr>
          <w:rFonts w:ascii="Arial" w:hAnsi="Arial" w:eastAsiaTheme="minorEastAsia" w:cs="Arial"/>
          <w:sz w:val="20"/>
        </w:rPr>
        <w:t xml:space="preserve"> collection of all essential documents required to be maintained by the Sponsor or Sponsor-Investigator in accordance with applicable regulations.</w:t>
      </w:r>
    </w:p>
    <w:p w:rsidR="003B76A4" w:rsidP="003B76A4" w14:paraId="488310E8" w14:textId="77777777">
      <w:pPr>
        <w:autoSpaceDE w:val="0"/>
        <w:autoSpaceDN w:val="0"/>
        <w:adjustRightInd w:val="0"/>
        <w:spacing w:line="276" w:lineRule="auto"/>
        <w:ind w:left="720"/>
        <w:rPr>
          <w:rFonts w:ascii="Arial" w:hAnsi="Arial" w:eastAsiaTheme="minorEastAsia" w:cs="Arial"/>
          <w:sz w:val="20"/>
        </w:rPr>
      </w:pPr>
    </w:p>
    <w:p w:rsidR="00C93800" w:rsidP="1E72377C" w14:paraId="5B31680A" w14:textId="6E7D8156">
      <w:pPr>
        <w:autoSpaceDE w:val="0"/>
        <w:autoSpaceDN w:val="0"/>
        <w:adjustRightInd w:val="0"/>
        <w:spacing w:line="276" w:lineRule="auto"/>
        <w:ind w:left="720"/>
        <w:rPr>
          <w:rFonts w:ascii="Arial" w:hAnsi="Arial" w:cs="Arial"/>
          <w:sz w:val="20"/>
          <w:szCs w:val="20"/>
        </w:rPr>
      </w:pPr>
      <w:r w:rsidRPr="1E72377C" w:rsidR="1E72377C">
        <w:rPr>
          <w:rFonts w:ascii="Arial" w:hAnsi="Arial" w:cs="Arial"/>
          <w:sz w:val="20"/>
          <w:szCs w:val="20"/>
        </w:rPr>
        <w:t>The terms “subject” and “participant</w:t>
      </w:r>
      <w:r w:rsidRPr="1E72377C" w:rsidR="1E72377C">
        <w:rPr>
          <w:rFonts w:ascii="Arial" w:hAnsi="Arial" w:cs="Arial"/>
          <w:sz w:val="20"/>
          <w:szCs w:val="20"/>
        </w:rPr>
        <w:t>”,</w:t>
      </w:r>
      <w:r w:rsidRPr="1E72377C" w:rsidR="1E72377C">
        <w:rPr>
          <w:rFonts w:ascii="Arial" w:hAnsi="Arial" w:cs="Arial"/>
          <w:sz w:val="20"/>
          <w:szCs w:val="20"/>
        </w:rPr>
        <w:t xml:space="preserve"> and “study” and “trial” where applicable are interchangeable.</w:t>
      </w:r>
    </w:p>
    <w:p w:rsidR="00893319" w:rsidRPr="007E49BE" w:rsidP="004C3076" w14:paraId="6F7F6D4F" w14:textId="79BFB507">
      <w:pPr>
        <w:pStyle w:val="SectionHeading"/>
        <w:numPr>
          <w:ilvl w:val="0"/>
          <w:numId w:val="26"/>
        </w:numPr>
        <w:spacing w:before="240" w:after="240" w:line="276" w:lineRule="auto"/>
        <w:ind w:left="720" w:hanging="720"/>
        <w:rPr>
          <w:color w:val="365F91" w:themeColor="accent1" w:themeShade="BF"/>
          <w:sz w:val="28"/>
          <w:szCs w:val="28"/>
        </w:rPr>
        <w:sectPr w:rsidSect="00641FF8">
          <w:footerReference w:type="default" r:id="rId21"/>
          <w:headerReference w:type="first" r:id="rId22"/>
          <w:footerReference w:type="first" r:id="rId23"/>
          <w:type w:val="continuous"/>
          <w:pgSz w:w="12240" w:h="15840" w:orient="portrait" w:code="1"/>
          <w:pgMar w:top="1440" w:right="1440" w:bottom="1440" w:left="1440" w:header="720" w:footer="720" w:gutter="0"/>
          <w:cols w:space="720"/>
          <w:titlePg/>
        </w:sectPr>
      </w:pPr>
      <w:r w:rsidRPr="007E49BE">
        <w:rPr>
          <w:color w:val="365F91" w:themeColor="accent1" w:themeShade="BF"/>
          <w:sz w:val="28"/>
          <w:szCs w:val="28"/>
        </w:rPr>
        <w:t>Procedur</w:t>
      </w:r>
      <w:r w:rsidRPr="007E49BE" w:rsidR="004C3076">
        <w:rPr>
          <w:color w:val="365F91" w:themeColor="accent1" w:themeShade="BF"/>
          <w:sz w:val="28"/>
          <w:szCs w:val="28"/>
        </w:rPr>
        <w:t>e</w:t>
      </w:r>
    </w:p>
    <w:p w:rsidR="00F523BE" w:rsidRPr="00727D8A" w:rsidP="004C3076" w14:paraId="76ADA59B" w14:textId="3C93B2CB">
      <w:pPr>
        <w:keepNext/>
        <w:pBdr>
          <w:top w:val="nil"/>
          <w:left w:val="nil"/>
          <w:bottom w:val="nil"/>
          <w:right w:val="nil"/>
          <w:between w:val="nil"/>
        </w:pBdr>
        <w:spacing w:line="276" w:lineRule="auto"/>
        <w:ind w:left="720"/>
        <w:rPr>
          <w:rFonts w:ascii="Arial" w:hAnsi="Arial" w:cs="Arial"/>
          <w:sz w:val="20"/>
        </w:rPr>
      </w:pPr>
      <w:r w:rsidRPr="00F523BE">
        <w:rPr>
          <w:rFonts w:ascii="Arial" w:hAnsi="Arial" w:cs="Arial"/>
          <w:sz w:val="20"/>
        </w:rPr>
        <w:t xml:space="preserve">The Clinical Trials Project Managers (CTPMs) work with the Sponsor and/or Principal Investigator of the study to complete and document study close out activities.  This </w:t>
      </w:r>
      <w:ins w:id="5" w:author="Shelton, Nancy" w:date="2024-09-11T14:55:00Z">
        <w:r>
          <w:rPr>
            <w:rFonts w:ascii="Arial" w:hAnsi="Arial" w:cs="Arial"/>
            <w:sz w:val="20"/>
          </w:rPr>
          <w:t xml:space="preserve">generally </w:t>
        </w:r>
      </w:ins>
      <w:r w:rsidRPr="00F523BE">
        <w:rPr>
          <w:rFonts w:ascii="Arial" w:hAnsi="Arial" w:cs="Arial"/>
          <w:sz w:val="20"/>
        </w:rPr>
        <w:t xml:space="preserve">includes, </w:t>
      </w:r>
      <w:del w:id="6" w:author="Shelton, Nancy" w:date="2024-09-11T14:55:00Z">
        <w:r w:rsidRPr="00F523BE">
          <w:rPr>
            <w:rFonts w:ascii="Arial" w:hAnsi="Arial" w:cs="Arial"/>
            <w:sz w:val="20"/>
          </w:rPr>
          <w:delText>but is not limited to,</w:delText>
        </w:r>
      </w:del>
      <w:r w:rsidRPr="00F523BE">
        <w:rPr>
          <w:rFonts w:ascii="Arial" w:hAnsi="Arial" w:cs="Arial"/>
          <w:sz w:val="20"/>
        </w:rPr>
        <w:t xml:space="preserve"> ensuring essential documents are up to date, study data entry is complete and queries are resolved, the database is locked, regulatory submissions are filed, reports are provided per contractual obligations, and financial close-out procedures are complete. The CTPM ensures close-out activities are conducted and documented in accordance with applicable regulations and this SOP</w:t>
      </w:r>
      <w:r w:rsidR="001A2D26">
        <w:rPr>
          <w:rFonts w:ascii="Arial" w:hAnsi="Arial" w:cs="Arial"/>
          <w:sz w:val="20"/>
        </w:rPr>
        <w:t>.</w:t>
      </w:r>
    </w:p>
    <w:p w:rsidR="00727D8A" w:rsidP="00727D8A" w14:paraId="302B4F54" w14:textId="77777777">
      <w:pPr>
        <w:pStyle w:val="ListParagraph"/>
        <w:numPr>
          <w:ilvl w:val="1"/>
          <w:numId w:val="26"/>
        </w:numPr>
        <w:pBdr>
          <w:top w:val="nil"/>
          <w:left w:val="nil"/>
          <w:bottom w:val="nil"/>
          <w:right w:val="nil"/>
          <w:between w:val="nil"/>
        </w:pBdr>
        <w:spacing w:before="120" w:after="120" w:line="276" w:lineRule="auto"/>
        <w:contextualSpacing w:val="0"/>
        <w:rPr>
          <w:rFonts w:cs="Arial"/>
          <w:b/>
        </w:rPr>
      </w:pPr>
      <w:r w:rsidRPr="00727D8A">
        <w:rPr>
          <w:rFonts w:cs="Arial"/>
          <w:b/>
        </w:rPr>
        <w:t>Study Close-Out Checklist Creation</w:t>
      </w:r>
    </w:p>
    <w:p w:rsidR="00727D8A" w:rsidRPr="00727D8A" w:rsidP="00727D8A" w14:paraId="3F0E5C51" w14:textId="713BE787">
      <w:pPr>
        <w:pStyle w:val="ListParagraph"/>
        <w:numPr>
          <w:ilvl w:val="2"/>
          <w:numId w:val="26"/>
        </w:numPr>
        <w:pBdr>
          <w:top w:val="nil"/>
          <w:left w:val="nil"/>
          <w:bottom w:val="nil"/>
          <w:right w:val="nil"/>
          <w:between w:val="nil"/>
        </w:pBdr>
        <w:spacing w:before="120" w:after="120" w:line="276" w:lineRule="auto"/>
        <w:ind w:left="1800"/>
        <w:contextualSpacing w:val="0"/>
        <w:rPr>
          <w:rFonts w:cs="Arial"/>
          <w:b/>
        </w:rPr>
      </w:pPr>
      <w:r w:rsidRPr="00727D8A">
        <w:rPr>
          <w:rFonts w:eastAsiaTheme="minorEastAsia" w:cs="Arial"/>
        </w:rPr>
        <w:t xml:space="preserve">Required close-out activities are determined based on the regulations applicable to the research study. The CTPM creates </w:t>
      </w:r>
      <w:r w:rsidRPr="00727D8A">
        <w:rPr>
          <w:rFonts w:cs="Arial"/>
        </w:rPr>
        <w:t>a study specific Close</w:t>
      </w:r>
      <w:ins w:id="7" w:author="Shelton, Nancy" w:date="2024-09-11T14:55:00Z">
        <w:r>
          <w:rPr>
            <w:rFonts w:cs="Arial"/>
          </w:rPr>
          <w:t>-</w:t>
        </w:r>
      </w:ins>
      <w:del w:id="8" w:author="Shelton, Nancy" w:date="2024-09-11T14:55:00Z">
        <w:r w:rsidRPr="00727D8A">
          <w:rPr>
            <w:rFonts w:cs="Arial"/>
          </w:rPr>
          <w:delText xml:space="preserve"> </w:delText>
        </w:r>
      </w:del>
      <w:r w:rsidRPr="00727D8A">
        <w:rPr>
          <w:rFonts w:cs="Arial"/>
        </w:rPr>
        <w:t xml:space="preserve">Out Checklist to indicate the applicable activities that must be completed during study close out. The </w:t>
      </w:r>
      <w:r w:rsidRPr="00727D8A">
        <w:rPr>
          <w:rFonts w:eastAsiaTheme="minorEastAsia" w:cs="Arial"/>
        </w:rPr>
        <w:t>Close</w:t>
      </w:r>
      <w:ins w:id="9" w:author="Shelton, Nancy" w:date="2024-09-11T14:55:00Z">
        <w:r>
          <w:rPr>
            <w:rFonts w:eastAsiaTheme="minorEastAsia" w:cs="Arial"/>
          </w:rPr>
          <w:t>-</w:t>
        </w:r>
      </w:ins>
      <w:del w:id="10" w:author="Shelton, Nancy" w:date="2024-09-11T14:55:00Z">
        <w:r w:rsidR="0014765C">
          <w:rPr>
            <w:rFonts w:eastAsiaTheme="minorEastAsia" w:cs="Arial"/>
          </w:rPr>
          <w:delText xml:space="preserve"> </w:delText>
        </w:r>
      </w:del>
      <w:r w:rsidRPr="00727D8A">
        <w:rPr>
          <w:rFonts w:eastAsiaTheme="minorEastAsia" w:cs="Arial"/>
        </w:rPr>
        <w:t>Out Checklist is developed using applicable guidance documents, regulations, and SOPs, and is tailored to meet the study needs.</w:t>
      </w:r>
    </w:p>
    <w:p w:rsidR="00F523BE" w:rsidRPr="00727D8A" w:rsidP="00727D8A" w14:paraId="3096F787" w14:textId="24F87362">
      <w:pPr>
        <w:pStyle w:val="ListParagraph"/>
        <w:numPr>
          <w:ilvl w:val="2"/>
          <w:numId w:val="26"/>
        </w:numPr>
        <w:pBdr>
          <w:top w:val="nil"/>
          <w:left w:val="nil"/>
          <w:bottom w:val="nil"/>
          <w:right w:val="nil"/>
          <w:between w:val="nil"/>
        </w:pBdr>
        <w:spacing w:before="120" w:after="120" w:line="276" w:lineRule="auto"/>
        <w:ind w:left="1800"/>
        <w:contextualSpacing w:val="0"/>
        <w:rPr>
          <w:rFonts w:cs="Arial"/>
          <w:b/>
        </w:rPr>
      </w:pPr>
      <w:r w:rsidRPr="00727D8A">
        <w:rPr>
          <w:rFonts w:eastAsiaTheme="minorEastAsia" w:cs="Arial"/>
        </w:rPr>
        <w:t>A study cannot be closed until:</w:t>
      </w:r>
    </w:p>
    <w:p w:rsidR="00F523BE" w:rsidRPr="00F523BE" w:rsidP="00727D8A" w14:paraId="2AA2CA44" w14:textId="77777777">
      <w:pPr>
        <w:numPr>
          <w:ilvl w:val="0"/>
          <w:numId w:val="24"/>
        </w:numPr>
        <w:spacing w:line="276" w:lineRule="auto"/>
        <w:ind w:left="2070" w:hanging="270"/>
        <w:contextualSpacing/>
        <w:jc w:val="both"/>
        <w:rPr>
          <w:rFonts w:ascii="Arial" w:hAnsi="Arial" w:eastAsiaTheme="minorEastAsia" w:cs="Arial"/>
          <w:sz w:val="20"/>
        </w:rPr>
      </w:pPr>
      <w:r w:rsidRPr="00F523BE">
        <w:rPr>
          <w:rFonts w:ascii="Arial" w:hAnsi="Arial" w:eastAsiaTheme="minorEastAsia" w:cs="Arial"/>
          <w:sz w:val="20"/>
        </w:rPr>
        <w:t>Human subject research is complete including all follow-up activities</w:t>
      </w:r>
    </w:p>
    <w:p w:rsidR="00F523BE" w:rsidRPr="00F523BE" w:rsidP="00727D8A" w14:paraId="42364C79" w14:textId="77777777">
      <w:pPr>
        <w:numPr>
          <w:ilvl w:val="0"/>
          <w:numId w:val="24"/>
        </w:numPr>
        <w:spacing w:line="276" w:lineRule="auto"/>
        <w:ind w:left="2070" w:hanging="270"/>
        <w:contextualSpacing/>
        <w:jc w:val="both"/>
        <w:rPr>
          <w:rFonts w:ascii="Arial" w:hAnsi="Arial" w:eastAsiaTheme="minorEastAsia" w:cs="Arial"/>
          <w:sz w:val="20"/>
        </w:rPr>
      </w:pPr>
      <w:r w:rsidRPr="00F523BE">
        <w:rPr>
          <w:rFonts w:ascii="Arial" w:hAnsi="Arial" w:eastAsiaTheme="minorEastAsia" w:cs="Arial"/>
          <w:sz w:val="20"/>
        </w:rPr>
        <w:t>Participating sites have closed with their IRB</w:t>
      </w:r>
    </w:p>
    <w:p w:rsidR="00F523BE" w:rsidRPr="00F523BE" w:rsidP="00727D8A" w14:paraId="38209985" w14:textId="77777777">
      <w:pPr>
        <w:numPr>
          <w:ilvl w:val="0"/>
          <w:numId w:val="24"/>
        </w:numPr>
        <w:spacing w:line="276" w:lineRule="auto"/>
        <w:ind w:left="2070" w:hanging="270"/>
        <w:contextualSpacing/>
        <w:jc w:val="both"/>
        <w:rPr>
          <w:rFonts w:ascii="Arial" w:hAnsi="Arial" w:eastAsiaTheme="minorEastAsia" w:cs="Arial"/>
          <w:sz w:val="20"/>
        </w:rPr>
      </w:pPr>
      <w:r w:rsidRPr="00F523BE">
        <w:rPr>
          <w:rFonts w:ascii="Arial" w:hAnsi="Arial" w:eastAsiaTheme="minorEastAsia" w:cs="Arial"/>
          <w:sz w:val="20"/>
        </w:rPr>
        <w:t xml:space="preserve">Outstanding close-out visit items are verified and resolved (when </w:t>
      </w:r>
      <w:r w:rsidRPr="00F523BE">
        <w:rPr>
          <w:rFonts w:ascii="Arial" w:hAnsi="Arial" w:eastAsiaTheme="minorEastAsia" w:cs="Arial"/>
          <w:sz w:val="20"/>
        </w:rPr>
        <w:t>applicable)</w:t>
      </w:r>
    </w:p>
    <w:p w:rsidR="00F523BE" w:rsidP="00727D8A" w14:paraId="55AE5BCE" w14:textId="77777777">
      <w:pPr>
        <w:numPr>
          <w:ilvl w:val="0"/>
          <w:numId w:val="24"/>
        </w:numPr>
        <w:spacing w:line="276" w:lineRule="auto"/>
        <w:ind w:left="2070" w:hanging="270"/>
        <w:contextualSpacing/>
        <w:jc w:val="both"/>
        <w:rPr>
          <w:rFonts w:ascii="Arial" w:hAnsi="Arial" w:eastAsiaTheme="minorEastAsia" w:cs="Arial"/>
          <w:sz w:val="20"/>
        </w:rPr>
      </w:pPr>
      <w:r w:rsidRPr="00F523BE">
        <w:rPr>
          <w:rFonts w:ascii="Arial" w:hAnsi="Arial" w:eastAsiaTheme="minorEastAsia" w:cs="Arial"/>
          <w:sz w:val="20"/>
        </w:rPr>
        <w:t xml:space="preserve">The study database is locked (when applicable) </w:t>
      </w:r>
    </w:p>
    <w:p w:rsidR="0014765C" w:rsidRPr="00F523BE" w:rsidP="00727D8A" w14:paraId="42C1553E" w14:textId="3DCB71E6">
      <w:pPr>
        <w:numPr>
          <w:ilvl w:val="0"/>
          <w:numId w:val="24"/>
        </w:numPr>
        <w:spacing w:line="276" w:lineRule="auto"/>
        <w:ind w:left="2070" w:hanging="270"/>
        <w:contextualSpacing/>
        <w:jc w:val="both"/>
        <w:rPr>
          <w:rFonts w:ascii="Arial" w:hAnsi="Arial" w:eastAsiaTheme="minorEastAsia" w:cs="Arial"/>
          <w:sz w:val="20"/>
        </w:rPr>
      </w:pPr>
      <w:r>
        <w:rPr>
          <w:rFonts w:ascii="Arial" w:hAnsi="Arial" w:eastAsiaTheme="minorEastAsia" w:cs="Arial"/>
          <w:sz w:val="20"/>
        </w:rPr>
        <w:t>Applicable final regulatory reporting is completed</w:t>
      </w:r>
    </w:p>
    <w:p w:rsidR="00727D8A" w:rsidP="00727D8A" w14:paraId="0FD1396D" w14:textId="77777777">
      <w:pPr>
        <w:numPr>
          <w:ilvl w:val="0"/>
          <w:numId w:val="24"/>
        </w:numPr>
        <w:spacing w:line="276" w:lineRule="auto"/>
        <w:ind w:left="2070" w:hanging="270"/>
        <w:contextualSpacing/>
        <w:jc w:val="both"/>
        <w:rPr>
          <w:rFonts w:ascii="Arial" w:hAnsi="Arial" w:eastAsiaTheme="minorEastAsia" w:cs="Arial"/>
          <w:sz w:val="20"/>
        </w:rPr>
      </w:pPr>
      <w:r w:rsidRPr="00F523BE">
        <w:rPr>
          <w:rFonts w:ascii="Arial" w:hAnsi="Arial" w:eastAsiaTheme="minorEastAsia" w:cs="Arial"/>
          <w:sz w:val="20"/>
        </w:rPr>
        <w:t xml:space="preserve">Financial reconciliation has occurred </w:t>
      </w:r>
    </w:p>
    <w:p w:rsidR="00F5054D" w:rsidP="00F5054D" w14:paraId="7419CE35" w14:textId="29D3C3AC">
      <w:pPr>
        <w:pStyle w:val="ListParagraph"/>
        <w:numPr>
          <w:ilvl w:val="2"/>
          <w:numId w:val="26"/>
        </w:numPr>
        <w:spacing w:before="120" w:after="120" w:line="276" w:lineRule="auto"/>
        <w:ind w:left="1886"/>
        <w:contextualSpacing w:val="0"/>
        <w:rPr>
          <w:rFonts w:eastAsiaTheme="minorEastAsia" w:cs="Arial"/>
        </w:rPr>
      </w:pPr>
      <w:r w:rsidRPr="00727D8A">
        <w:rPr>
          <w:rFonts w:eastAsiaTheme="minorEastAsia" w:cs="Arial"/>
        </w:rPr>
        <w:t>The Close-Out Checklist will include a list of critical activities that must occur during the close</w:t>
      </w:r>
      <w:ins w:id="11" w:author="Shelton, Nancy" w:date="2024-09-11T14:57:00Z">
        <w:r>
          <w:rPr>
            <w:rFonts w:eastAsiaTheme="minorEastAsia" w:cs="Arial"/>
          </w:rPr>
          <w:t>-</w:t>
        </w:r>
      </w:ins>
      <w:del w:id="12" w:author="Shelton, Nancy" w:date="2024-09-11T14:57:00Z">
        <w:r w:rsidRPr="00727D8A">
          <w:rPr>
            <w:rFonts w:eastAsiaTheme="minorEastAsia" w:cs="Arial"/>
          </w:rPr>
          <w:delText xml:space="preserve"> </w:delText>
        </w:r>
      </w:del>
      <w:r w:rsidRPr="00727D8A">
        <w:rPr>
          <w:rFonts w:eastAsiaTheme="minorEastAsia" w:cs="Arial"/>
        </w:rPr>
        <w:t xml:space="preserve">out of a research study to ensure compliance with all applicable regulations. </w:t>
      </w:r>
    </w:p>
    <w:p w:rsidR="00185993" w:rsidRPr="00185993" w:rsidP="00185993" w14:paraId="3ACB75C5" w14:textId="77777777">
      <w:pPr>
        <w:pStyle w:val="ListParagraph"/>
        <w:numPr>
          <w:ilvl w:val="1"/>
          <w:numId w:val="26"/>
        </w:numPr>
        <w:spacing w:before="120" w:after="120" w:line="276" w:lineRule="auto"/>
        <w:contextualSpacing w:val="0"/>
        <w:rPr>
          <w:rFonts w:eastAsiaTheme="minorEastAsia" w:cs="Arial"/>
        </w:rPr>
      </w:pPr>
      <w:r w:rsidRPr="00F5054D">
        <w:rPr>
          <w:rFonts w:cs="Arial"/>
          <w:b/>
        </w:rPr>
        <w:t>Study Close-Out Process</w:t>
      </w:r>
    </w:p>
    <w:p w:rsidR="00F5054D" w:rsidRPr="00185993" w:rsidP="00185993" w14:paraId="031B5B9F" w14:textId="44DE2948">
      <w:pPr>
        <w:pStyle w:val="ListParagraph"/>
        <w:numPr>
          <w:ilvl w:val="2"/>
          <w:numId w:val="26"/>
        </w:numPr>
        <w:tabs>
          <w:tab w:val="left" w:pos="1800"/>
        </w:tabs>
        <w:spacing w:before="120" w:after="120" w:line="276" w:lineRule="auto"/>
        <w:ind w:left="1800"/>
        <w:contextualSpacing w:val="0"/>
        <w:rPr>
          <w:rFonts w:eastAsiaTheme="minorEastAsia" w:cs="Arial"/>
        </w:rPr>
      </w:pPr>
      <w:r w:rsidRPr="00185993">
        <w:rPr>
          <w:rFonts w:eastAsiaTheme="minorEastAsia" w:cs="Arial"/>
        </w:rPr>
        <w:t xml:space="preserve">The CTPM works with the responsible party indicated on the study Close-Out Checklist to track and document progress toward close out.  The CTPM collects documentation to evidence close out activities have been complete and files documentation in the Trial Master File, as appropriate. The CTPM will complete the Close Out Checklist </w:t>
      </w:r>
      <w:r w:rsidR="00EB1623">
        <w:rPr>
          <w:rFonts w:eastAsiaTheme="minorEastAsia" w:cs="Arial"/>
        </w:rPr>
        <w:t>and</w:t>
      </w:r>
      <w:r w:rsidR="007125BF">
        <w:rPr>
          <w:rFonts w:eastAsiaTheme="minorEastAsia" w:cs="Arial"/>
        </w:rPr>
        <w:t xml:space="preserve"> </w:t>
      </w:r>
      <w:r w:rsidRPr="00185993">
        <w:rPr>
          <w:rFonts w:eastAsiaTheme="minorEastAsia" w:cs="Arial"/>
        </w:rPr>
        <w:t xml:space="preserve">verify the required activities are complete, the collected documents have been reviewed for accuracy (when applicable), and documentation is filed as evidence of completion, before determining the study is closed. </w:t>
      </w:r>
    </w:p>
    <w:p w:rsidR="000D5900" w:rsidRPr="000D5900" w:rsidP="1E72377C" w14:paraId="0065902A" w14:textId="77777777">
      <w:pPr>
        <w:pStyle w:val="ListParagraph"/>
        <w:keepNext/>
        <w:numPr>
          <w:ilvl w:val="1"/>
          <w:numId w:val="26"/>
        </w:numPr>
        <w:spacing w:before="120" w:after="120" w:line="276" w:lineRule="auto"/>
        <w:contextualSpacing w:val="0"/>
        <w:rPr>
          <w:rFonts w:eastAsiaTheme="minorEastAsia" w:cs="Arial"/>
        </w:rPr>
      </w:pPr>
      <w:r w:rsidRPr="1E72377C" w:rsidR="1E72377C">
        <w:rPr>
          <w:rFonts w:cs="Arial"/>
          <w:b/>
          <w:bCs/>
        </w:rPr>
        <w:t>Notification of Closure</w:t>
      </w:r>
    </w:p>
    <w:p w:rsidR="000D5900" w:rsidRPr="000D5900" w:rsidP="00211185" w14:paraId="6D95C82A" w14:textId="2CCC0160">
      <w:pPr>
        <w:pStyle w:val="ListParagraph"/>
        <w:numPr>
          <w:ilvl w:val="2"/>
          <w:numId w:val="26"/>
        </w:numPr>
        <w:spacing w:before="120" w:after="120" w:line="276" w:lineRule="auto"/>
        <w:ind w:left="1800"/>
        <w:contextualSpacing w:val="0"/>
        <w:rPr>
          <w:rFonts w:eastAsiaTheme="minorEastAsia" w:cs="Arial"/>
          <w:bCs/>
        </w:rPr>
      </w:pPr>
      <w:r w:rsidRPr="000D5900">
        <w:rPr>
          <w:rFonts w:cs="Arial"/>
          <w:bCs/>
        </w:rPr>
        <w:t>Site Notifications</w:t>
      </w:r>
    </w:p>
    <w:p w:rsidR="000D5900" w:rsidRPr="000D5900" w:rsidP="00211185" w14:paraId="5FD0E427" w14:textId="19E2962F">
      <w:pPr>
        <w:pStyle w:val="ListParagraph"/>
        <w:numPr>
          <w:ilvl w:val="0"/>
          <w:numId w:val="28"/>
        </w:numPr>
        <w:spacing w:before="120" w:after="120" w:line="276" w:lineRule="auto"/>
        <w:ind w:left="2160"/>
        <w:contextualSpacing w:val="0"/>
        <w:rPr>
          <w:rFonts w:eastAsiaTheme="minorEastAsia" w:cs="Arial"/>
          <w:bCs/>
        </w:rPr>
      </w:pPr>
      <w:r w:rsidRPr="000D5900">
        <w:rPr>
          <w:rFonts w:cs="Arial"/>
          <w:bCs/>
        </w:rPr>
        <w:t xml:space="preserve">The CTPM notifies each participating site of the intent to close </w:t>
      </w:r>
      <w:r w:rsidRPr="000D5900">
        <w:rPr>
          <w:rFonts w:cs="Arial"/>
        </w:rPr>
        <w:t xml:space="preserve">when participant activity, including follow-up visits, are complete, and the </w:t>
      </w:r>
      <w:r w:rsidR="0014765C">
        <w:rPr>
          <w:rFonts w:cs="Arial"/>
        </w:rPr>
        <w:t>project</w:t>
      </w:r>
      <w:r w:rsidRPr="000D5900" w:rsidR="0014765C">
        <w:rPr>
          <w:rFonts w:cs="Arial"/>
        </w:rPr>
        <w:t xml:space="preserve"> </w:t>
      </w:r>
      <w:r w:rsidRPr="000D5900">
        <w:rPr>
          <w:rFonts w:cs="Arial"/>
        </w:rPr>
        <w:t xml:space="preserve">team has determined the site will be closed.  </w:t>
      </w:r>
    </w:p>
    <w:p w:rsidR="000D5900" w:rsidRPr="000D5900" w:rsidP="00211185" w14:paraId="4CC47199" w14:textId="24A8598D">
      <w:pPr>
        <w:pStyle w:val="ListParagraph"/>
        <w:numPr>
          <w:ilvl w:val="0"/>
          <w:numId w:val="28"/>
        </w:numPr>
        <w:spacing w:before="120" w:after="120" w:line="276" w:lineRule="auto"/>
        <w:ind w:left="2160"/>
        <w:contextualSpacing w:val="0"/>
        <w:rPr>
          <w:rFonts w:eastAsiaTheme="minorEastAsia" w:cs="Arial"/>
          <w:bCs/>
        </w:rPr>
      </w:pPr>
      <w:r w:rsidRPr="000D5900">
        <w:rPr>
          <w:rFonts w:cs="Arial"/>
        </w:rPr>
        <w:t xml:space="preserve">After the site has completed data entry, participated in a monitoring close out visit (when applicable), resolved data queries, provided relevant regulatory </w:t>
      </w:r>
      <w:r w:rsidRPr="000D5900">
        <w:rPr>
          <w:rFonts w:cs="Arial"/>
        </w:rPr>
        <w:t>documents for reconciliation, and</w:t>
      </w:r>
      <w:r w:rsidR="0014765C">
        <w:rPr>
          <w:rFonts w:cs="Arial"/>
        </w:rPr>
        <w:t xml:space="preserve"> local</w:t>
      </w:r>
      <w:r w:rsidRPr="000D5900">
        <w:rPr>
          <w:rFonts w:cs="Arial"/>
        </w:rPr>
        <w:t xml:space="preserve"> close out </w:t>
      </w:r>
      <w:r w:rsidR="0014765C">
        <w:rPr>
          <w:rFonts w:cs="Arial"/>
        </w:rPr>
        <w:t xml:space="preserve">regulatory </w:t>
      </w:r>
      <w:r w:rsidRPr="000D5900">
        <w:rPr>
          <w:rFonts w:cs="Arial"/>
        </w:rPr>
        <w:t>activities are complete, the CTPM notifies th</w:t>
      </w:r>
      <w:r w:rsidR="00245BD7">
        <w:rPr>
          <w:rFonts w:cs="Arial"/>
        </w:rPr>
        <w:t>e</w:t>
      </w:r>
      <w:r w:rsidRPr="000D5900">
        <w:rPr>
          <w:rFonts w:cs="Arial"/>
        </w:rPr>
        <w:t xml:space="preserve"> site to </w:t>
      </w:r>
      <w:r w:rsidR="007B2AA9">
        <w:rPr>
          <w:rFonts w:cs="Arial"/>
        </w:rPr>
        <w:t xml:space="preserve">submit for study </w:t>
      </w:r>
      <w:r w:rsidRPr="000D5900">
        <w:rPr>
          <w:rFonts w:cs="Arial"/>
        </w:rPr>
        <w:t>clos</w:t>
      </w:r>
      <w:r w:rsidR="007B2AA9">
        <w:rPr>
          <w:rFonts w:cs="Arial"/>
        </w:rPr>
        <w:t>ur</w:t>
      </w:r>
      <w:r w:rsidRPr="000D5900">
        <w:rPr>
          <w:rFonts w:cs="Arial"/>
        </w:rPr>
        <w:t>e with their IRB of record.</w:t>
      </w:r>
    </w:p>
    <w:p w:rsidR="000D5900" w:rsidRPr="000D5900" w:rsidP="00211185" w14:paraId="17BA4422" w14:textId="77777777">
      <w:pPr>
        <w:pStyle w:val="ListParagraph"/>
        <w:numPr>
          <w:ilvl w:val="2"/>
          <w:numId w:val="26"/>
        </w:numPr>
        <w:spacing w:before="120" w:after="120" w:line="276" w:lineRule="auto"/>
        <w:ind w:left="1800"/>
        <w:contextualSpacing w:val="0"/>
        <w:rPr>
          <w:rFonts w:eastAsiaTheme="minorEastAsia" w:cs="Arial"/>
          <w:bCs/>
        </w:rPr>
      </w:pPr>
      <w:r w:rsidRPr="000D5900">
        <w:rPr>
          <w:rFonts w:cs="Arial"/>
          <w:bCs/>
        </w:rPr>
        <w:t>Regulatory Notifications</w:t>
      </w:r>
    </w:p>
    <w:p w:rsidR="00F523BE" w:rsidRPr="000D5900" w:rsidP="00211185" w14:paraId="423D53FF" w14:textId="43605E0E">
      <w:pPr>
        <w:pStyle w:val="ListParagraph"/>
        <w:numPr>
          <w:ilvl w:val="0"/>
          <w:numId w:val="29"/>
        </w:numPr>
        <w:spacing w:before="120" w:after="120" w:line="276" w:lineRule="auto"/>
        <w:ind w:left="2070"/>
        <w:contextualSpacing w:val="0"/>
        <w:rPr>
          <w:rFonts w:eastAsiaTheme="minorEastAsia" w:cs="Arial"/>
          <w:bCs/>
        </w:rPr>
      </w:pPr>
      <w:r w:rsidRPr="000D5900">
        <w:rPr>
          <w:rFonts w:cs="Arial"/>
          <w:bCs/>
        </w:rPr>
        <w:t>Upon verification that close-out requirements are complete, the CTPM ensures regulatory oversight bodies are notified including, but not limited to, the following</w:t>
      </w:r>
      <w:ins w:id="13" w:author="Shelton, Nancy" w:date="2024-09-11T14:58:00Z">
        <w:r>
          <w:rPr>
            <w:rFonts w:cs="Arial"/>
            <w:bCs/>
          </w:rPr>
          <w:t>:</w:t>
        </w:r>
      </w:ins>
      <w:del w:id="14" w:author="Shelton, Nancy" w:date="2024-09-11T14:58:00Z">
        <w:r w:rsidRPr="000D5900">
          <w:rPr>
            <w:rFonts w:cs="Arial"/>
            <w:bCs/>
          </w:rPr>
          <w:delText xml:space="preserve">, as applicable. </w:delText>
        </w:r>
      </w:del>
    </w:p>
    <w:p w:rsidR="00F523BE" w:rsidRPr="00F523BE" w:rsidP="00211185" w14:paraId="45CC2C89" w14:textId="77777777">
      <w:pPr>
        <w:pStyle w:val="ListParagraph"/>
        <w:numPr>
          <w:ilvl w:val="0"/>
          <w:numId w:val="30"/>
        </w:numPr>
        <w:pBdr>
          <w:top w:val="nil"/>
          <w:left w:val="nil"/>
          <w:bottom w:val="nil"/>
          <w:right w:val="nil"/>
          <w:between w:val="nil"/>
        </w:pBdr>
        <w:tabs>
          <w:tab w:val="left" w:pos="2250"/>
        </w:tabs>
        <w:spacing w:line="276" w:lineRule="auto"/>
        <w:ind w:left="2520"/>
        <w:contextualSpacing w:val="0"/>
        <w:rPr>
          <w:rFonts w:cs="Arial"/>
          <w:bCs/>
        </w:rPr>
      </w:pPr>
      <w:r w:rsidRPr="00F523BE">
        <w:rPr>
          <w:rFonts w:cs="Arial"/>
          <w:bCs/>
        </w:rPr>
        <w:t>Central IRB – Closure at the study level</w:t>
      </w:r>
    </w:p>
    <w:p w:rsidR="00F523BE" w:rsidRPr="00F523BE" w:rsidP="00211185" w14:paraId="44D567E0" w14:textId="3669ED4C">
      <w:pPr>
        <w:pStyle w:val="ListParagraph"/>
        <w:numPr>
          <w:ilvl w:val="0"/>
          <w:numId w:val="30"/>
        </w:numPr>
        <w:pBdr>
          <w:top w:val="nil"/>
          <w:left w:val="nil"/>
          <w:bottom w:val="nil"/>
          <w:right w:val="nil"/>
          <w:between w:val="nil"/>
        </w:pBdr>
        <w:tabs>
          <w:tab w:val="left" w:pos="2250"/>
        </w:tabs>
        <w:spacing w:line="276" w:lineRule="auto"/>
        <w:ind w:left="2520"/>
        <w:contextualSpacing w:val="0"/>
        <w:rPr>
          <w:rFonts w:cs="Arial"/>
          <w:bCs/>
        </w:rPr>
      </w:pPr>
      <w:r w:rsidRPr="00F523BE">
        <w:rPr>
          <w:rFonts w:cs="Arial"/>
          <w:bCs/>
        </w:rPr>
        <w:t>FDA –</w:t>
      </w:r>
      <w:r w:rsidR="00D54292">
        <w:rPr>
          <w:rFonts w:cs="Arial"/>
          <w:bCs/>
        </w:rPr>
        <w:t xml:space="preserve"> </w:t>
      </w:r>
      <w:r w:rsidRPr="00F523BE">
        <w:rPr>
          <w:rFonts w:cs="Arial"/>
          <w:bCs/>
        </w:rPr>
        <w:t xml:space="preserve">through the YCCI IND/IDE </w:t>
      </w:r>
      <w:ins w:id="15" w:author="Shelton, Nancy" w:date="2024-09-11T14:58:00Z">
        <w:r>
          <w:rPr>
            <w:rFonts w:cs="Arial"/>
            <w:bCs/>
          </w:rPr>
          <w:t xml:space="preserve">Management </w:t>
        </w:r>
      </w:ins>
      <w:r w:rsidRPr="00F523BE">
        <w:rPr>
          <w:rFonts w:cs="Arial"/>
          <w:bCs/>
        </w:rPr>
        <w:t>Office</w:t>
      </w:r>
    </w:p>
    <w:p w:rsidR="00F523BE" w:rsidP="00211185" w14:paraId="58C2C09C" w14:textId="5556F29D">
      <w:pPr>
        <w:pStyle w:val="ListParagraph"/>
        <w:numPr>
          <w:ilvl w:val="0"/>
          <w:numId w:val="29"/>
        </w:numPr>
        <w:pBdr>
          <w:top w:val="nil"/>
          <w:left w:val="nil"/>
          <w:bottom w:val="nil"/>
          <w:right w:val="nil"/>
          <w:between w:val="nil"/>
        </w:pBdr>
        <w:spacing w:before="120" w:after="120" w:line="276" w:lineRule="auto"/>
        <w:ind w:left="2070"/>
        <w:contextualSpacing w:val="0"/>
        <w:rPr>
          <w:rFonts w:cs="Arial"/>
          <w:bCs/>
        </w:rPr>
      </w:pPr>
      <w:r w:rsidRPr="000D5900">
        <w:rPr>
          <w:rFonts w:cs="Arial"/>
          <w:bCs/>
        </w:rPr>
        <w:t>Documentation of regulatory closure is filed in the Trial Master File and the records are archived per the Trial Master File SOP</w:t>
      </w:r>
      <w:r w:rsidR="0014765C">
        <w:rPr>
          <w:rFonts w:cs="Arial"/>
          <w:bCs/>
        </w:rPr>
        <w:t>, when applicable</w:t>
      </w:r>
      <w:r w:rsidRPr="000D5900">
        <w:rPr>
          <w:rFonts w:cs="Arial"/>
          <w:bCs/>
        </w:rPr>
        <w:t xml:space="preserve">.  </w:t>
      </w:r>
    </w:p>
    <w:p w:rsidR="00F523BE" w:rsidRPr="001015D9" w:rsidP="001015D9" w14:paraId="4263FC9C" w14:textId="0EA8BBE6">
      <w:pPr>
        <w:pStyle w:val="ListParagraph"/>
        <w:numPr>
          <w:ilvl w:val="1"/>
          <w:numId w:val="26"/>
        </w:numPr>
        <w:pBdr>
          <w:top w:val="nil"/>
          <w:left w:val="nil"/>
          <w:bottom w:val="nil"/>
          <w:right w:val="nil"/>
          <w:between w:val="nil"/>
        </w:pBdr>
        <w:spacing w:before="120" w:after="120" w:line="276" w:lineRule="auto"/>
        <w:contextualSpacing w:val="0"/>
        <w:rPr>
          <w:rFonts w:cs="Arial"/>
          <w:b/>
        </w:rPr>
      </w:pPr>
      <w:r w:rsidRPr="005C2B0B">
        <w:rPr>
          <w:rFonts w:cs="Arial"/>
          <w:b/>
        </w:rPr>
        <w:t>Training</w:t>
      </w:r>
    </w:p>
    <w:p w:rsidR="00F523BE" w:rsidRPr="001015D9" w:rsidP="001015D9" w14:paraId="4CB789AB" w14:textId="6A67A84D">
      <w:pPr>
        <w:pStyle w:val="ListParagraph"/>
        <w:pBdr>
          <w:top w:val="nil"/>
          <w:left w:val="nil"/>
          <w:bottom w:val="nil"/>
          <w:right w:val="nil"/>
          <w:between w:val="nil"/>
        </w:pBdr>
        <w:spacing w:before="120" w:after="120" w:line="276" w:lineRule="auto"/>
        <w:ind w:left="1080"/>
        <w:contextualSpacing w:val="0"/>
      </w:pPr>
      <w:r w:rsidRPr="00391EEA">
        <w:t>All responsible personnel listed within this SOP will receive training appropriate to their role and level of responsibility.</w:t>
      </w:r>
    </w:p>
    <w:p w:rsidR="003C5942" w:rsidRPr="007E49BE" w:rsidP="003C5942" w14:paraId="61199265" w14:textId="77777777">
      <w:pPr>
        <w:pStyle w:val="SectionHeading"/>
        <w:numPr>
          <w:ilvl w:val="0"/>
          <w:numId w:val="26"/>
        </w:numPr>
        <w:tabs>
          <w:tab w:val="num" w:pos="1080"/>
        </w:tabs>
        <w:spacing w:before="240" w:after="240" w:line="276" w:lineRule="auto"/>
        <w:ind w:left="990" w:hanging="900"/>
        <w:rPr>
          <w:color w:val="365F91" w:themeColor="accent1" w:themeShade="BF"/>
          <w:sz w:val="28"/>
          <w:szCs w:val="28"/>
        </w:rPr>
      </w:pPr>
      <w:r w:rsidRPr="007E49BE">
        <w:rPr>
          <w:color w:val="365F91" w:themeColor="accent1" w:themeShade="BF"/>
          <w:sz w:val="28"/>
          <w:szCs w:val="28"/>
        </w:rPr>
        <w:t>Roles and Responsibilities</w:t>
      </w:r>
    </w:p>
    <w:p w:rsidR="003C5942" w:rsidRPr="00096F81" w:rsidP="003C5942" w14:paraId="680A950E" w14:textId="2E60CA1E">
      <w:pPr>
        <w:pStyle w:val="BodyText"/>
        <w:numPr>
          <w:ilvl w:val="0"/>
          <w:numId w:val="31"/>
        </w:numPr>
        <w:spacing w:before="240" w:after="120" w:line="276" w:lineRule="auto"/>
        <w:ind w:left="1080"/>
        <w:contextualSpacing/>
        <w:rPr>
          <w:rFonts w:cs="Arial"/>
        </w:rPr>
      </w:pPr>
      <w:r w:rsidRPr="00096F81">
        <w:rPr>
          <w:color w:val="000000"/>
        </w:rPr>
        <w:t>Sponsor(-Investigator): The Sponsor, whether or not also an Investigator, is ultimately accountable for the oversight of all Principal Investigators (PIs) selected to conduct clinical research. The Sponsor(-Investigator) ensures that a project is carried out in compliance with Good Manufacturing Practice (GMP), Good Laboratory Practice (GLP), Good Clinical Practice (GCP), applicable Yale policies, and applicable governing regulations.</w:t>
      </w:r>
      <w:r w:rsidRPr="00096F81">
        <w:rPr>
          <w:rFonts w:cs="Arial"/>
        </w:rPr>
        <w:br/>
      </w:r>
    </w:p>
    <w:p w:rsidR="003C5942" w:rsidRPr="00C97FA7" w:rsidP="003C5942" w14:paraId="7905266E" w14:textId="77777777">
      <w:pPr>
        <w:pStyle w:val="BodyText"/>
        <w:numPr>
          <w:ilvl w:val="0"/>
          <w:numId w:val="31"/>
        </w:numPr>
        <w:spacing w:before="240" w:after="120" w:line="276" w:lineRule="auto"/>
        <w:ind w:left="1080"/>
        <w:contextualSpacing/>
        <w:jc w:val="both"/>
        <w:rPr>
          <w:rFonts w:cs="Arial"/>
        </w:rPr>
      </w:pPr>
      <w:r>
        <w:rPr>
          <w:rFonts w:cs="Arial"/>
        </w:rPr>
        <w:t>The following study personnel may be delegated study tasks with documentation of appropriate training and experience:</w:t>
      </w:r>
    </w:p>
    <w:p w:rsidR="00096F81" w:rsidP="003C5942" w14:paraId="47728D70" w14:textId="2011F976">
      <w:pPr>
        <w:pStyle w:val="ListParagraph"/>
        <w:numPr>
          <w:ilvl w:val="0"/>
          <w:numId w:val="32"/>
        </w:numPr>
        <w:ind w:left="1530"/>
        <w:rPr>
          <w:rFonts w:cs="Arial"/>
        </w:rPr>
      </w:pPr>
      <w:r>
        <w:rPr>
          <w:rFonts w:cs="Arial"/>
        </w:rPr>
        <w:t>Associate Director</w:t>
      </w:r>
    </w:p>
    <w:p w:rsidR="003C5942" w:rsidRPr="00991343" w:rsidP="003C5942" w14:paraId="55A04B36" w14:textId="3A50BB99">
      <w:pPr>
        <w:pStyle w:val="ListParagraph"/>
        <w:numPr>
          <w:ilvl w:val="0"/>
          <w:numId w:val="32"/>
        </w:numPr>
        <w:ind w:left="1530"/>
        <w:rPr>
          <w:rFonts w:cs="Arial"/>
        </w:rPr>
      </w:pPr>
      <w:r w:rsidRPr="00991343">
        <w:rPr>
          <w:rFonts w:cs="Arial"/>
        </w:rPr>
        <w:t>Project Manager</w:t>
      </w:r>
    </w:p>
    <w:p w:rsidR="003C5942" w:rsidRPr="007E49BE" w:rsidP="003C5942" w14:paraId="16A27431" w14:textId="77777777">
      <w:pPr>
        <w:pStyle w:val="SectionHeading"/>
        <w:keepNext w:val="0"/>
        <w:numPr>
          <w:ilvl w:val="0"/>
          <w:numId w:val="33"/>
        </w:numPr>
        <w:tabs>
          <w:tab w:val="num" w:pos="1080"/>
        </w:tabs>
        <w:spacing w:before="240" w:after="240" w:line="276" w:lineRule="auto"/>
        <w:ind w:left="720" w:hanging="720"/>
        <w:contextualSpacing w:val="0"/>
        <w:rPr>
          <w:color w:val="365F91" w:themeColor="accent1" w:themeShade="BF"/>
          <w:sz w:val="28"/>
          <w:szCs w:val="28"/>
        </w:rPr>
      </w:pPr>
      <w:r w:rsidRPr="007E49BE">
        <w:rPr>
          <w:color w:val="365F91" w:themeColor="accent1" w:themeShade="BF"/>
          <w:sz w:val="28"/>
          <w:szCs w:val="28"/>
        </w:rPr>
        <w:t xml:space="preserve">Contact Information </w:t>
      </w:r>
    </w:p>
    <w:p w:rsidR="003C5942" w:rsidP="003C5942" w14:paraId="71504B26" w14:textId="77777777">
      <w:pPr>
        <w:pStyle w:val="BodyText"/>
        <w:spacing w:before="120" w:after="240" w:line="276" w:lineRule="auto"/>
        <w:ind w:left="720"/>
        <w:rPr>
          <w:rStyle w:val="Hyperlink"/>
        </w:rPr>
      </w:pPr>
      <w:r>
        <w:t xml:space="preserve">Any exceptions or questions pertaining to this procedure must be presented to </w:t>
      </w:r>
      <w:hyperlink r:id="rId24" w:history="1">
        <w:r w:rsidRPr="00117703">
          <w:rPr>
            <w:rStyle w:val="Hyperlink"/>
          </w:rPr>
          <w:t>ycci.sop@yale.edu</w:t>
        </w:r>
      </w:hyperlink>
      <w:r>
        <w:rPr>
          <w:rStyle w:val="Hyperlink"/>
        </w:rPr>
        <w:t>.</w:t>
      </w:r>
    </w:p>
    <w:p w:rsidR="003C5942" w:rsidRPr="007E49BE" w:rsidP="003C5942" w14:paraId="305FE3DC" w14:textId="77777777">
      <w:pPr>
        <w:pStyle w:val="SectionHeading"/>
        <w:keepNext w:val="0"/>
        <w:numPr>
          <w:ilvl w:val="0"/>
          <w:numId w:val="33"/>
        </w:numPr>
        <w:tabs>
          <w:tab w:val="num" w:pos="810"/>
        </w:tabs>
        <w:spacing w:before="120" w:after="240" w:line="276" w:lineRule="auto"/>
        <w:ind w:left="720" w:hanging="720"/>
        <w:contextualSpacing w:val="0"/>
        <w:rPr>
          <w:color w:val="365F91" w:themeColor="accent1" w:themeShade="BF"/>
          <w:sz w:val="28"/>
          <w:szCs w:val="28"/>
        </w:rPr>
      </w:pPr>
      <w:r w:rsidRPr="007E49BE">
        <w:rPr>
          <w:color w:val="365F91" w:themeColor="accent1" w:themeShade="BF"/>
          <w:sz w:val="28"/>
          <w:szCs w:val="28"/>
        </w:rPr>
        <w:t>Related Information</w:t>
      </w:r>
    </w:p>
    <w:p w:rsidR="003C5942" w:rsidRPr="003440EC" w:rsidP="003C5942" w14:paraId="69B53221" w14:textId="77777777">
      <w:pPr>
        <w:pStyle w:val="SectionHeading"/>
        <w:keepNext w:val="0"/>
        <w:spacing w:before="120" w:line="276" w:lineRule="auto"/>
        <w:ind w:left="720"/>
        <w:contextualSpacing w:val="0"/>
        <w:rPr>
          <w:b w:val="0"/>
          <w:bCs/>
          <w:sz w:val="20"/>
          <w:szCs w:val="16"/>
        </w:rPr>
      </w:pPr>
      <w:r>
        <w:rPr>
          <w:b w:val="0"/>
          <w:bCs/>
          <w:sz w:val="20"/>
          <w:szCs w:val="16"/>
        </w:rPr>
        <w:t>This section identifies applicable regulations, guidance’s, and policies related to this procedure.</w:t>
      </w:r>
    </w:p>
    <w:p w:rsidR="003C5942" w:rsidRPr="00C97FA7" w:rsidP="003C5942" w14:paraId="67511991" w14:textId="77777777">
      <w:pPr>
        <w:pStyle w:val="ListParagraph"/>
        <w:numPr>
          <w:ilvl w:val="1"/>
          <w:numId w:val="33"/>
        </w:numPr>
        <w:spacing w:before="120" w:after="120"/>
        <w:contextualSpacing w:val="0"/>
        <w:rPr>
          <w:rFonts w:cs="Arial"/>
          <w:b/>
          <w:bCs/>
        </w:rPr>
      </w:pPr>
      <w:r w:rsidRPr="00A215C1">
        <w:rPr>
          <w:rFonts w:cs="Arial"/>
          <w:b/>
          <w:bCs/>
        </w:rPr>
        <w:t>Code of Federal Regulations</w:t>
      </w:r>
    </w:p>
    <w:p w:rsidR="003C5942" w:rsidRPr="00C97FA7" w:rsidP="003C5942" w14:paraId="2D4EBA00" w14:textId="77777777">
      <w:pPr>
        <w:pStyle w:val="ListParagraph"/>
        <w:numPr>
          <w:ilvl w:val="0"/>
          <w:numId w:val="34"/>
        </w:numPr>
        <w:spacing w:line="276" w:lineRule="auto"/>
        <w:ind w:left="1440"/>
        <w:rPr>
          <w:rFonts w:cs="Arial"/>
        </w:rPr>
      </w:pPr>
      <w:r w:rsidRPr="00C97FA7">
        <w:rPr>
          <w:rFonts w:cs="Arial"/>
        </w:rPr>
        <w:t>21 CFR 312 – Investigational New Drugs – Drugs for Human Use</w:t>
      </w:r>
    </w:p>
    <w:p w:rsidR="003C5942" w:rsidRPr="00C97FA7" w:rsidP="003C5942" w14:paraId="4042622C" w14:textId="77777777">
      <w:pPr>
        <w:pStyle w:val="ListParagraph"/>
        <w:numPr>
          <w:ilvl w:val="0"/>
          <w:numId w:val="34"/>
        </w:numPr>
        <w:spacing w:line="276" w:lineRule="auto"/>
        <w:ind w:left="1440"/>
        <w:rPr>
          <w:rFonts w:cs="Arial"/>
        </w:rPr>
      </w:pPr>
      <w:r w:rsidRPr="00C97FA7">
        <w:rPr>
          <w:rFonts w:cs="Arial"/>
        </w:rPr>
        <w:t>21 CFR 812 - Investigational Device Exemptions</w:t>
      </w:r>
    </w:p>
    <w:p w:rsidR="003C5942" w:rsidP="003C5942" w14:paraId="4DBD1976" w14:textId="77777777">
      <w:pPr>
        <w:pStyle w:val="ListParagraph"/>
        <w:numPr>
          <w:ilvl w:val="0"/>
          <w:numId w:val="34"/>
        </w:numPr>
        <w:spacing w:line="276" w:lineRule="auto"/>
        <w:ind w:left="1440"/>
        <w:rPr>
          <w:rFonts w:cs="Arial"/>
        </w:rPr>
      </w:pPr>
      <w:r w:rsidRPr="00C97FA7">
        <w:rPr>
          <w:rFonts w:cs="Arial"/>
        </w:rPr>
        <w:t>21 CFR 50 – Protection of Human Research Subjects</w:t>
      </w:r>
    </w:p>
    <w:p w:rsidR="003C5942" w:rsidRPr="00AC77B6" w:rsidP="00E568C8" w14:paraId="6A8697C9" w14:textId="77777777">
      <w:pPr>
        <w:keepNext/>
        <w:spacing w:before="120" w:after="120"/>
        <w:ind w:left="720"/>
        <w:rPr>
          <w:rFonts w:ascii="Arial" w:hAnsi="Arial" w:cs="Arial"/>
          <w:b/>
          <w:bCs/>
          <w:sz w:val="20"/>
        </w:rPr>
      </w:pPr>
      <w:r w:rsidRPr="00AC77B6">
        <w:rPr>
          <w:rFonts w:ascii="Arial" w:hAnsi="Arial" w:cs="Arial"/>
          <w:b/>
          <w:bCs/>
          <w:sz w:val="20"/>
        </w:rPr>
        <w:t xml:space="preserve">7.2 Food and Drug </w:t>
      </w:r>
      <w:r w:rsidRPr="00AC77B6">
        <w:rPr>
          <w:rFonts w:ascii="Arial" w:hAnsi="Arial" w:cs="Arial"/>
          <w:b/>
          <w:bCs/>
          <w:sz w:val="20"/>
        </w:rPr>
        <w:t>Administration</w:t>
      </w:r>
    </w:p>
    <w:p w:rsidR="003C5942" w:rsidRPr="00C97FA7" w:rsidP="003C5942" w14:paraId="4879E4A4" w14:textId="77777777">
      <w:pPr>
        <w:pStyle w:val="ListParagraph"/>
        <w:numPr>
          <w:ilvl w:val="0"/>
          <w:numId w:val="34"/>
        </w:numPr>
        <w:spacing w:line="276" w:lineRule="auto"/>
        <w:ind w:left="1440"/>
        <w:rPr>
          <w:rFonts w:cs="Arial"/>
        </w:rPr>
      </w:pPr>
      <w:r w:rsidRPr="00C97FA7">
        <w:rPr>
          <w:rFonts w:cs="Arial"/>
        </w:rPr>
        <w:t>International Conference on Harmonization – E6</w:t>
      </w:r>
    </w:p>
    <w:p w:rsidR="003C5942" w:rsidRPr="00C97FA7" w:rsidP="003C5942" w14:paraId="074553A1" w14:textId="77777777">
      <w:pPr>
        <w:pStyle w:val="ListParagraph"/>
        <w:numPr>
          <w:ilvl w:val="0"/>
          <w:numId w:val="34"/>
        </w:numPr>
        <w:spacing w:line="276" w:lineRule="auto"/>
        <w:ind w:left="1440"/>
        <w:rPr>
          <w:rFonts w:cs="Arial"/>
        </w:rPr>
      </w:pPr>
      <w:r w:rsidRPr="00C97FA7">
        <w:rPr>
          <w:rFonts w:cs="Arial"/>
        </w:rPr>
        <w:t>FDA Industry Guidelines &amp; Information Sheets</w:t>
      </w:r>
    </w:p>
    <w:p w:rsidR="004F4EAA" w:rsidRPr="004F4EAA" w:rsidP="004F4EAA" w14:paraId="78952B48" w14:textId="4888ACA5">
      <w:pPr>
        <w:pStyle w:val="ListParagraph"/>
        <w:numPr>
          <w:ilvl w:val="0"/>
          <w:numId w:val="34"/>
        </w:numPr>
        <w:spacing w:line="276" w:lineRule="auto"/>
        <w:ind w:left="1440"/>
        <w:rPr>
          <w:rFonts w:cs="Arial"/>
        </w:rPr>
      </w:pPr>
      <w:r w:rsidRPr="00C97FA7">
        <w:rPr>
          <w:rFonts w:cs="Arial"/>
        </w:rPr>
        <w:t>FDA Compliance Policy Guidance Programs: 7348.809, 7348.810 &amp; 7348.811</w:t>
      </w:r>
    </w:p>
    <w:p w:rsidR="004F4EAA" w:rsidRPr="007E49BE" w:rsidP="004F4EAA" w14:paraId="034FD7D3" w14:textId="77777777">
      <w:pPr>
        <w:pStyle w:val="SectionHeading"/>
        <w:numPr>
          <w:ilvl w:val="0"/>
          <w:numId w:val="33"/>
        </w:numPr>
        <w:tabs>
          <w:tab w:val="num" w:pos="1080"/>
        </w:tabs>
        <w:spacing w:before="240" w:after="240" w:line="276" w:lineRule="auto"/>
        <w:ind w:left="720" w:hanging="720"/>
        <w:contextualSpacing w:val="0"/>
        <w:rPr>
          <w:color w:val="365F91" w:themeColor="accent1" w:themeShade="BF"/>
          <w:sz w:val="28"/>
          <w:szCs w:val="28"/>
        </w:rPr>
      </w:pPr>
      <w:r w:rsidRPr="007E49BE">
        <w:rPr>
          <w:color w:val="365F91" w:themeColor="accent1" w:themeShade="BF"/>
          <w:sz w:val="28"/>
          <w:szCs w:val="28"/>
        </w:rPr>
        <w:t>Reference Materials</w:t>
      </w:r>
    </w:p>
    <w:p w:rsidR="004F4EAA" w:rsidP="004F4EAA" w14:paraId="2917620A" w14:textId="77777777">
      <w:pPr>
        <w:pStyle w:val="SectionHeading"/>
        <w:keepNext w:val="0"/>
        <w:spacing w:before="120" w:after="240"/>
        <w:ind w:left="720"/>
        <w:contextualSpacing w:val="0"/>
        <w:rPr>
          <w:rFonts w:cs="Arial"/>
          <w:b w:val="0"/>
          <w:bCs/>
          <w:sz w:val="20"/>
        </w:rPr>
      </w:pPr>
      <w:r w:rsidRPr="00011FCA">
        <w:rPr>
          <w:rFonts w:cs="Arial"/>
          <w:b w:val="0"/>
          <w:bCs/>
          <w:sz w:val="20"/>
        </w:rPr>
        <w:t xml:space="preserve">Reference materials are </w:t>
      </w:r>
      <w:r>
        <w:rPr>
          <w:rFonts w:cs="Arial"/>
          <w:b w:val="0"/>
          <w:bCs/>
          <w:sz w:val="20"/>
        </w:rPr>
        <w:t xml:space="preserve">located </w:t>
      </w:r>
      <w:r w:rsidRPr="00011FCA">
        <w:rPr>
          <w:rFonts w:cs="Arial"/>
          <w:b w:val="0"/>
          <w:bCs/>
          <w:sz w:val="20"/>
        </w:rPr>
        <w:t xml:space="preserve">in each </w:t>
      </w:r>
      <w:r w:rsidRPr="00011FCA">
        <w:rPr>
          <w:rFonts w:cs="Arial"/>
          <w:b w:val="0"/>
          <w:bCs/>
          <w:sz w:val="20"/>
        </w:rPr>
        <w:t>functional area’s working directory.</w:t>
      </w:r>
    </w:p>
    <w:p w:rsidR="004F4EAA" w:rsidRPr="00F523BE" w:rsidP="004F4EAA" w14:paraId="55AE964A" w14:textId="77777777">
      <w:pPr>
        <w:pStyle w:val="ListParagraph"/>
        <w:numPr>
          <w:ilvl w:val="0"/>
          <w:numId w:val="38"/>
        </w:numPr>
        <w:pBdr>
          <w:top w:val="nil"/>
          <w:left w:val="nil"/>
          <w:bottom w:val="nil"/>
          <w:right w:val="nil"/>
          <w:between w:val="nil"/>
        </w:pBdr>
        <w:spacing w:line="276" w:lineRule="auto"/>
        <w:ind w:left="1440"/>
        <w:rPr>
          <w:rFonts w:cs="Arial"/>
        </w:rPr>
      </w:pPr>
      <w:r w:rsidRPr="00F523BE">
        <w:rPr>
          <w:rFonts w:cs="Arial"/>
        </w:rPr>
        <w:t>Close-Out Checklis</w:t>
      </w:r>
      <w:r>
        <w:rPr>
          <w:rFonts w:cs="Arial"/>
        </w:rPr>
        <w:t>t</w:t>
      </w:r>
    </w:p>
    <w:p w:rsidR="004F4EAA" w:rsidRPr="00F523BE" w:rsidP="004F4EAA" w14:paraId="25C8680E" w14:textId="77777777">
      <w:pPr>
        <w:pStyle w:val="ListParagraph"/>
        <w:numPr>
          <w:ilvl w:val="0"/>
          <w:numId w:val="38"/>
        </w:numPr>
        <w:pBdr>
          <w:top w:val="nil"/>
          <w:left w:val="nil"/>
          <w:bottom w:val="nil"/>
          <w:right w:val="nil"/>
          <w:between w:val="nil"/>
        </w:pBdr>
        <w:spacing w:line="276" w:lineRule="auto"/>
        <w:ind w:left="1440"/>
        <w:rPr>
          <w:rFonts w:cs="Arial"/>
        </w:rPr>
      </w:pPr>
      <w:r w:rsidRPr="00F523BE">
        <w:rPr>
          <w:rFonts w:cs="Arial"/>
          <w:bCs/>
        </w:rPr>
        <w:t>Intent to Close Notification</w:t>
      </w:r>
    </w:p>
    <w:p w:rsidR="004F4EAA" w:rsidP="004F4EAA" w14:paraId="144CAC64" w14:textId="77777777">
      <w:pPr>
        <w:pStyle w:val="ListParagraph"/>
        <w:numPr>
          <w:ilvl w:val="0"/>
          <w:numId w:val="38"/>
        </w:numPr>
        <w:pBdr>
          <w:top w:val="nil"/>
          <w:left w:val="nil"/>
          <w:bottom w:val="nil"/>
          <w:right w:val="nil"/>
          <w:between w:val="nil"/>
        </w:pBdr>
        <w:spacing w:line="276" w:lineRule="auto"/>
        <w:ind w:left="1440"/>
        <w:rPr>
          <w:rFonts w:cs="Arial"/>
        </w:rPr>
      </w:pPr>
      <w:r w:rsidRPr="00F523BE">
        <w:rPr>
          <w:rFonts w:cs="Arial"/>
        </w:rPr>
        <w:t>IRB Closure Letter</w:t>
      </w:r>
    </w:p>
    <w:p w:rsidR="004F4EAA" w:rsidRPr="007E49BE" w:rsidP="001213FA" w14:paraId="0A6B3F89" w14:textId="77777777">
      <w:pPr>
        <w:pStyle w:val="SectionHeading"/>
        <w:numPr>
          <w:ilvl w:val="0"/>
          <w:numId w:val="33"/>
        </w:numPr>
        <w:tabs>
          <w:tab w:val="num" w:pos="720"/>
        </w:tabs>
        <w:spacing w:before="240" w:after="240" w:line="276" w:lineRule="auto"/>
        <w:ind w:left="720" w:hanging="720"/>
        <w:contextualSpacing w:val="0"/>
        <w:rPr>
          <w:color w:val="365F91" w:themeColor="accent1" w:themeShade="BF"/>
          <w:sz w:val="28"/>
          <w:szCs w:val="28"/>
        </w:rPr>
      </w:pPr>
      <w:r w:rsidRPr="007E49BE">
        <w:rPr>
          <w:color w:val="365F91" w:themeColor="accent1" w:themeShade="BF"/>
          <w:sz w:val="28"/>
          <w:szCs w:val="28"/>
        </w:rPr>
        <w:t>Version History</w:t>
      </w:r>
    </w:p>
    <w:p w:rsidR="00F523BE" w:rsidP="004F4EAA" w14:paraId="7C5F68A4" w14:textId="7D431511">
      <w:pPr>
        <w:pStyle w:val="BodyText"/>
        <w:numPr>
          <w:ilvl w:val="0"/>
          <w:numId w:val="35"/>
        </w:numPr>
        <w:spacing w:before="0" w:after="120" w:line="276" w:lineRule="auto"/>
        <w:rPr>
          <w:rFonts w:cs="Arial"/>
          <w:color w:val="000000"/>
        </w:rPr>
      </w:pPr>
      <w:r>
        <w:rPr>
          <w:rFonts w:cs="Arial"/>
          <w:b/>
          <w:bCs/>
          <w:color w:val="000000"/>
        </w:rPr>
        <w:t>07/15/2024</w:t>
      </w:r>
      <w:r w:rsidRPr="00E862D6" w:rsidR="004F4EAA">
        <w:rPr>
          <w:rFonts w:cs="Arial"/>
          <w:color w:val="000000"/>
        </w:rPr>
        <w:t>: New document (no prior history)</w:t>
      </w:r>
    </w:p>
    <w:p w:rsidR="007E49BE" w:rsidP="007E49BE" w14:paraId="342886BC" w14:textId="77777777">
      <w:pPr>
        <w:pStyle w:val="BodyText"/>
        <w:spacing w:before="0" w:after="120" w:line="276" w:lineRule="auto"/>
        <w:rPr>
          <w:rFonts w:cs="Arial"/>
          <w:color w:val="000000"/>
        </w:rPr>
      </w:pPr>
    </w:p>
    <w:p w:rsidR="007E49BE" w:rsidP="007E49BE" w14:paraId="4A06EAC4" w14:textId="77777777">
      <w:pPr>
        <w:spacing w:before="240" w:after="240"/>
        <w:contextualSpacing/>
        <w:rPr>
          <w:rFonts w:ascii="Arial" w:hAnsi="Arial"/>
          <w:sz w:val="20"/>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7E49BE" w:rsidRPr="00825DBD" w:rsidP="007E49BE" w14:paraId="51B5B083" w14:textId="77777777">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7E49BE" w:rsidRPr="00825DBD" w:rsidP="007E49BE" w14:paraId="42416E47" w14:textId="38A3204D">
      <w:pPr>
        <w:spacing w:before="240" w:after="240"/>
        <w:contextualSpacing/>
        <w:rPr>
          <w:rFonts w:ascii="Arial" w:hAnsi="Arial"/>
          <w:sz w:val="20"/>
          <w:szCs w:val="24"/>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Pr>
          <w:rFonts w:ascii="Arial" w:hAnsi="Arial"/>
          <w:sz w:val="20"/>
        </w:rPr>
        <w:t>09/20/2024</w:t>
      </w:r>
    </w:p>
    <w:p w:rsidR="007E49BE" w:rsidRPr="00825DBD" w:rsidP="007E49BE" w14:paraId="633067B7" w14:textId="5B9ABA40">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Pr>
          <w:rFonts w:ascii="Arial" w:hAnsi="Arial"/>
          <w:sz w:val="20"/>
        </w:rPr>
        <w:t>09/20/2024</w:t>
      </w:r>
    </w:p>
    <w:p w:rsidR="007E49BE" w:rsidRPr="00825DBD" w:rsidP="007E49BE" w14:paraId="332947D6" w14:textId="77777777">
      <w:pPr>
        <w:spacing w:before="240" w:after="240"/>
        <w:contextualSpacing/>
        <w:rPr>
          <w:rFonts w:ascii="Arial" w:hAnsi="Arial"/>
          <w:sz w:val="20"/>
          <w:szCs w:val="24"/>
        </w:rPr>
      </w:pPr>
    </w:p>
    <w:p w:rsidR="007E49BE" w:rsidRPr="004F4EAA" w:rsidP="007E49BE" w14:paraId="33041B6F" w14:textId="77777777">
      <w:pPr>
        <w:pStyle w:val="BodyText"/>
        <w:spacing w:before="0" w:after="120" w:line="276" w:lineRule="auto"/>
        <w:rPr>
          <w:rFonts w:cs="Arial"/>
          <w:color w:val="000000"/>
        </w:rPr>
      </w:pPr>
    </w:p>
    <w:p w:rsidR="001A2D26" w:rsidRPr="001A2D26" w:rsidP="001A2D26" w14:paraId="733B1D83" w14:textId="77777777">
      <w:pPr>
        <w:pBdr>
          <w:top w:val="nil"/>
          <w:left w:val="nil"/>
          <w:bottom w:val="nil"/>
          <w:right w:val="nil"/>
          <w:between w:val="nil"/>
        </w:pBdr>
        <w:spacing w:line="276" w:lineRule="auto"/>
        <w:ind w:left="360"/>
        <w:rPr>
          <w:rFonts w:cs="Arial"/>
        </w:rPr>
      </w:pPr>
      <w:bookmarkStart w:id="16" w:name="_Toc432302941"/>
    </w:p>
    <w:bookmarkEnd w:id="16"/>
    <w:p w:rsidR="00D32D6E" w:rsidRPr="001A2D26" w:rsidP="001A2D26" w14:paraId="22E7F651" w14:textId="3DE82D44">
      <w:pPr>
        <w:pStyle w:val="ListParagraph"/>
        <w:pBdr>
          <w:top w:val="nil"/>
          <w:left w:val="nil"/>
          <w:bottom w:val="nil"/>
          <w:right w:val="nil"/>
          <w:between w:val="nil"/>
        </w:pBdr>
        <w:spacing w:line="276" w:lineRule="auto"/>
        <w:rPr>
          <w:rFonts w:cs="Arial"/>
        </w:rPr>
      </w:pPr>
    </w:p>
    <w:sectPr w:rsidSect="0084451B">
      <w:headerReference w:type="even" r:id="rId25"/>
      <w:headerReference w:type="default" r:id="rId26"/>
      <w:footerReference w:type="even" r:id="rId27"/>
      <w:footerReference w:type="default" r:id="rId28"/>
      <w:headerReference w:type="first" r:id="rId29"/>
      <w:footerReference w:type="first" r:id="rId30"/>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0563" w:rsidRPr="007370CD" w:rsidP="007370CD" w14:paraId="5A6E2421"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7827594"/>
      <w:docPartObj>
        <w:docPartGallery w:val="Page Numbers (Bottom of Page)"/>
        <w:docPartUnique/>
      </w:docPartObj>
    </w:sdtPr>
    <w:sdtContent>
      <w:sdt>
        <w:sdtPr>
          <w:id w:val="707685845"/>
          <w:docPartObj>
            <w:docPartGallery w:val="Page Numbers (Top of Page)"/>
            <w:docPartUnique/>
          </w:docPartObj>
        </w:sdtPr>
        <w:sdtContent>
          <w:p w:rsidR="00893319" w14:paraId="51557803"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893319" w14:paraId="56E9FE7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54165055"/>
      <w:docPartObj>
        <w:docPartGallery w:val="Page Numbers (Bottom of Page)"/>
        <w:docPartUnique/>
      </w:docPartObj>
    </w:sdtPr>
    <w:sdtEndPr>
      <w:rPr>
        <w:i w:val="0"/>
        <w:iCs w:val="0"/>
      </w:rPr>
    </w:sdtEndPr>
    <w:sdtContent>
      <w:sdt>
        <w:sdtPr>
          <w:rPr>
            <w:i w:val="0"/>
            <w:iCs w:val="0"/>
          </w:rPr>
          <w:id w:val="257689882"/>
          <w:docPartObj>
            <w:docPartGallery w:val="Page Numbers (Top of Page)"/>
            <w:docPartUnique/>
          </w:docPartObj>
        </w:sdtPr>
        <w:sdtEndPr>
          <w:rPr>
            <w:i w:val="0"/>
            <w:iCs w:val="0"/>
          </w:rPr>
        </w:sdtEndPr>
        <w:sdtContent>
          <w:p w:rsidR="00D30563" w:rsidRPr="00BC681F" w:rsidP="00BC681F" w14:paraId="07C6EBAF" w14:textId="7777777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4</w:t>
            </w:r>
            <w:r w:rsidRPr="00BC681F">
              <w:rPr>
                <w:i w:val="0"/>
                <w:iCs/>
                <w:sz w:val="24"/>
                <w:szCs w:val="24"/>
              </w:rPr>
              <w:fldChar w:fldCharType="end"/>
            </w:r>
          </w:p>
        </w:sdtContent>
      </w:sdt>
    </w:sdtContent>
  </w:sdt>
  <w:p w:rsidR="00D30563" w:rsidP="00BC681F" w14:paraId="754C5F87"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22374980"/>
          <w:docPartObj>
            <w:docPartGallery w:val="Page Numbers (Top of Page)"/>
            <w:docPartUnique/>
          </w:docPartObj>
        </w:sdtPr>
        <w:sdtContent>
          <w:p w:rsidR="00D30563" w:rsidRPr="00823578" w:rsidP="00823578" w14:paraId="411867CE"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D30563" w14:paraId="0E3C1325"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D30563" w14:paraId="31B73BD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173652"/>
      <w:docPartObj>
        <w:docPartGallery w:val="Page Numbers (Bottom of Page)"/>
        <w:docPartUnique/>
      </w:docPartObj>
    </w:sdtPr>
    <w:sdtContent>
      <w:sdt>
        <w:sdtPr>
          <w:id w:val="607164011"/>
          <w:docPartObj>
            <w:docPartGallery w:val="Page Numbers (Top of Page)"/>
            <w:docPartUnique/>
          </w:docPartObj>
        </w:sdtPr>
        <w:sdtContent>
          <w:p w:rsidR="00D30563" w:rsidRPr="00823578" w:rsidP="00823578" w14:paraId="2D8C035A"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8361045"/>
      <w:docPartObj>
        <w:docPartGallery w:val="Page Numbers (Bottom of Page)"/>
        <w:docPartUnique/>
      </w:docPartObj>
    </w:sdtPr>
    <w:sdtContent>
      <w:sdt>
        <w:sdtPr>
          <w:id w:val="47353545"/>
          <w:docPartObj>
            <w:docPartGallery w:val="Page Numbers (Top of Page)"/>
            <w:docPartUnique/>
          </w:docPartObj>
        </w:sdtPr>
        <w:sdtContent>
          <w:p w:rsidR="00D30563" w14:paraId="5F65D6D9"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D30563" w14:paraId="60F01F4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39036730"/>
      <w:docPartObj>
        <w:docPartGallery w:val="Page Numbers (Bottom of Page)"/>
        <w:docPartUnique/>
      </w:docPartObj>
    </w:sdtPr>
    <w:sdtContent>
      <w:sdt>
        <w:sdtPr>
          <w:id w:val="-527485034"/>
          <w:docPartObj>
            <w:docPartGallery w:val="Page Numbers (Top of Page)"/>
            <w:docPartUnique/>
          </w:docPartObj>
        </w:sdtPr>
        <w:sdtContent>
          <w:p w:rsidR="003B76A4" w:rsidRPr="00823578" w:rsidP="00823578" w14:paraId="2D221D1A"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25803918"/>
      <w:docPartObj>
        <w:docPartGallery w:val="Page Numbers (Bottom of Page)"/>
        <w:docPartUnique/>
      </w:docPartObj>
    </w:sdtPr>
    <w:sdtContent>
      <w:sdt>
        <w:sdtPr>
          <w:id w:val="696046392"/>
          <w:docPartObj>
            <w:docPartGallery w:val="Page Numbers (Top of Page)"/>
            <w:docPartUnique/>
          </w:docPartObj>
        </w:sdtPr>
        <w:sdtContent>
          <w:p w:rsidR="003B76A4" w14:paraId="20CC9EFD"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3B76A4" w14:paraId="64FC251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20340633"/>
      <w:docPartObj>
        <w:docPartGallery w:val="Page Numbers (Bottom of Page)"/>
        <w:docPartUnique/>
      </w:docPartObj>
    </w:sdtPr>
    <w:sdtContent>
      <w:sdt>
        <w:sdtPr>
          <w:id w:val="1258719902"/>
          <w:docPartObj>
            <w:docPartGallery w:val="Page Numbers (Top of Page)"/>
            <w:docPartUnique/>
          </w:docPartObj>
        </w:sdtPr>
        <w:sdtContent>
          <w:p w:rsidR="00893319" w:rsidRPr="00823578" w:rsidP="00823578" w14:paraId="6CFDD2CD"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4</w:t>
            </w:r>
            <w:r>
              <w:rPr>
                <w:b w:val="0"/>
                <w:bCs/>
                <w:sz w:val="24"/>
                <w:szCs w:val="24"/>
              </w:rP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0563" w14:paraId="604C6706" w14:textId="58E2FD77">
    <w:pPr>
      <w:jc w:val="right"/>
      <w:rPr>
        <w:b/>
        <w:i/>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49BE" w:rsidP="007E49BE" w14:paraId="239FDC52" w14:textId="77777777">
    <w:pPr>
      <w:pStyle w:val="DocTitle"/>
    </w:pPr>
    <w:bookmarkStart w:id="0" w:name="_Hlk175902537"/>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D30563" w:rsidRPr="007E49BE" w:rsidP="007E49BE" w14:paraId="4CF669BF" w14:textId="4E89FF4E">
    <w:pPr>
      <w:pStyle w:val="DocTitle"/>
      <w:rPr>
        <w:color w:val="17365D" w:themeColor="text2" w:themeShade="BF"/>
      </w:rPr>
    </w:pPr>
    <w:r w:rsidRPr="007E49BE">
      <w:rPr>
        <w:color w:val="17365D" w:themeColor="text2" w:themeShade="BF"/>
      </w:rPr>
      <w:t>Study Close out (Sponsor) -100</w:t>
    </w:r>
    <w:r w:rsidR="00B66C76">
      <w:rPr>
        <w:color w:val="17365D" w:themeColor="text2" w:themeShade="BF"/>
      </w:rPr>
      <w:t>3</w:t>
    </w:r>
    <w:r w:rsidRPr="007E49BE">
      <w:rPr>
        <w:color w:val="17365D" w:themeColor="text2" w:themeShade="BF"/>
      </w:rPr>
      <w:t>- Procedure</w:t>
    </w:r>
    <w:bookmarkEnd w:id="0"/>
  </w:p>
  <w:p w:rsidR="00D30563" w:rsidRPr="00825DBD" w:rsidP="00825DBD" w14:paraId="24439815" w14:textId="4DA199CA">
    <w:pPr>
      <w:spacing w:before="240" w:after="240"/>
      <w:contextualSpacing/>
      <w:rPr>
        <w:rFonts w:ascii="Arial" w:hAnsi="Arial"/>
        <w:szCs w:val="24"/>
      </w:rPr>
    </w:pPr>
    <w:r w:rsidRPr="00825DBD">
      <w:rPr>
        <w:rFonts w:ascii="Arial" w:hAnsi="Arial"/>
        <w:b/>
        <w:bCs/>
        <w:sz w:val="20"/>
        <w:szCs w:val="24"/>
      </w:rPr>
      <w:t>Responsible Office:</w:t>
    </w:r>
    <w:r w:rsidRPr="00825DBD">
      <w:rPr>
        <w:rFonts w:ascii="Arial" w:hAnsi="Arial"/>
        <w:b/>
        <w:bCs/>
        <w:sz w:val="20"/>
        <w:szCs w:val="24"/>
      </w:rPr>
      <w:tab/>
    </w:r>
    <w:r w:rsidRPr="00825DBD">
      <w:rPr>
        <w:rFonts w:ascii="Arial" w:hAnsi="Arial"/>
        <w:b/>
        <w:bCs/>
        <w:sz w:val="20"/>
        <w:szCs w:val="24"/>
      </w:rPr>
      <w:tab/>
    </w:r>
    <w:r w:rsidR="007E49BE">
      <w:rPr>
        <w:rFonts w:ascii="Arial" w:hAnsi="Arial"/>
        <w:sz w:val="20"/>
      </w:rPr>
      <w:t>YCCI</w:t>
    </w:r>
  </w:p>
  <w:p w:rsidR="00D30563" w:rsidRPr="00825DBD" w:rsidP="00825DBD" w14:paraId="1774AF62" w14:textId="3707F69F">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007E49BE">
      <w:rPr>
        <w:rFonts w:ascii="Arial" w:hAnsi="Arial"/>
        <w:sz w:val="20"/>
        <w:szCs w:val="24"/>
      </w:rPr>
      <w:t>Julie Holub, Amy Hummel, Theresa Goddard, Amanda Tichacek</w:t>
    </w:r>
  </w:p>
  <w:p w:rsidR="00D30563" w:rsidP="00825DBD" w14:paraId="267BEF1E" w14:textId="5719FC1B">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Pr>
        <w:rFonts w:ascii="Arial" w:hAnsi="Arial"/>
        <w:sz w:val="20"/>
      </w:rPr>
      <w:t>09/20/2024</w:t>
    </w:r>
  </w:p>
  <w:p w:rsidR="007E49BE" w:rsidP="00825DBD" w14:paraId="0DD8DB20" w14:textId="77777777">
    <w:pPr>
      <w:pBdr>
        <w:bottom w:val="single" w:sz="6" w:space="1" w:color="auto"/>
      </w:pBdr>
      <w:spacing w:before="240" w:after="240"/>
      <w:contextualSpacing/>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0563" w:rsidP="005E5583" w14:paraId="6E3F3007" w14:textId="77777777">
    <w:pPr>
      <w:pStyle w:val="DocTitle"/>
    </w:pPr>
    <w:r>
      <w:rPr>
        <w:noProof/>
      </w:rPr>
      <w:drawing>
        <wp:inline distT="0" distB="0" distL="0" distR="0">
          <wp:extent cx="2505075" cy="742950"/>
          <wp:effectExtent l="0" t="0" r="9525" b="0"/>
          <wp:docPr id="1385944689" name="Picture 1385944689"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385944689"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D30563" w:rsidRPr="00825DBD" w:rsidP="007519A4" w14:paraId="09227D20"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Study Close Out (Sponsor) -1003- Procedure</w:t>
    </w:r>
    <w:r w:rsidRPr="00825DBD">
      <w:rPr>
        <w:rFonts w:eastAsiaTheme="majorEastAsia" w:cstheme="majorBidi"/>
        <w:b/>
        <w:spacing w:val="-10"/>
        <w:kern w:val="28"/>
        <w:sz w:val="36"/>
        <w:szCs w:val="56"/>
      </w:rPr>
      <w:fldChar w:fldCharType="end"/>
    </w:r>
  </w:p>
  <w:p w:rsidR="00D30563" w:rsidP="008D3096" w14:paraId="0B26DC6A" w14:textId="77777777">
    <w:pPr>
      <w:rPr>
        <w:b/>
        <w:bCs/>
        <w:szCs w:val="24"/>
      </w:rPr>
    </w:pPr>
  </w:p>
  <w:p w:rsidR="00D30563" w:rsidRPr="00825DBD" w:rsidP="008D3096" w14:paraId="6CE2934A" w14:textId="77777777">
    <w:pPr>
      <w:rPr>
        <w:szCs w:val="24"/>
      </w:rPr>
    </w:pPr>
    <w:r w:rsidRPr="00825DBD">
      <w:rPr>
        <w:b/>
        <w:bCs/>
        <w:szCs w:val="24"/>
      </w:rPr>
      <w:t>Responsible Office:</w:t>
    </w:r>
    <w:r w:rsidRPr="00825DBD">
      <w:rPr>
        <w:b/>
        <w:bCs/>
        <w:szCs w:val="24"/>
      </w:rPr>
      <w:tab/>
    </w:r>
    <w:r w:rsidRPr="00825DBD">
      <w:rPr>
        <w:b/>
        <w:bCs/>
        <w:szCs w:val="24"/>
      </w:rPr>
      <w:tab/>
    </w:r>
    <w:r>
      <w:t>YCCI</w:t>
    </w:r>
  </w:p>
  <w:p w:rsidR="00D30563" w:rsidRPr="00825DBD" w:rsidP="008D3096" w14:paraId="4B397458"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D30563" w:rsidRPr="00B17D41" w:rsidP="008D3096" w14:paraId="7631348C"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D30563" w:rsidRPr="00825DBD" w:rsidP="008D3096" w14:paraId="58B9E43B"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D30563" w:rsidRPr="00825DBD" w:rsidP="008D3096" w14:paraId="6E75918F"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D30563" w:rsidRPr="00825DBD" w:rsidP="008D3096" w14:paraId="2F5E0AE5"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D30563" w:rsidP="007519A4" w14:paraId="45D4B50E"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0563" w:rsidP="005E5583" w14:paraId="38124FAB" w14:textId="77777777">
    <w:pPr>
      <w:pStyle w:val="DocTitle"/>
    </w:pPr>
    <w:r>
      <w:rPr>
        <w:noProof/>
      </w:rPr>
      <w:drawing>
        <wp:inline distT="0" distB="0" distL="0" distR="0">
          <wp:extent cx="2505075" cy="742950"/>
          <wp:effectExtent l="0" t="0" r="9525" b="0"/>
          <wp:docPr id="1045379943" name="Picture 1045379943"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45379943"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D30563" w:rsidRPr="00825DBD" w:rsidP="007519A4" w14:paraId="31873727"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Study Close Out (Sponsor) -1003- Procedure</w:t>
    </w:r>
    <w:r w:rsidRPr="00825DBD">
      <w:rPr>
        <w:rFonts w:eastAsiaTheme="majorEastAsia" w:cstheme="majorBidi"/>
        <w:b/>
        <w:spacing w:val="-10"/>
        <w:kern w:val="28"/>
        <w:sz w:val="36"/>
        <w:szCs w:val="56"/>
      </w:rPr>
      <w:fldChar w:fldCharType="end"/>
    </w:r>
  </w:p>
  <w:p w:rsidR="00D30563" w:rsidP="008D3096" w14:paraId="2B5B9974" w14:textId="77777777">
    <w:pPr>
      <w:rPr>
        <w:b/>
        <w:bCs/>
        <w:szCs w:val="24"/>
      </w:rPr>
    </w:pPr>
  </w:p>
  <w:p w:rsidR="00D30563" w:rsidRPr="00825DBD" w:rsidP="008D3096" w14:paraId="741AB926" w14:textId="77777777">
    <w:pPr>
      <w:rPr>
        <w:szCs w:val="24"/>
      </w:rPr>
    </w:pPr>
    <w:r w:rsidRPr="00825DBD">
      <w:rPr>
        <w:b/>
        <w:bCs/>
        <w:szCs w:val="24"/>
      </w:rPr>
      <w:t>Responsible Office:</w:t>
    </w:r>
    <w:r w:rsidRPr="00825DBD">
      <w:rPr>
        <w:b/>
        <w:bCs/>
        <w:szCs w:val="24"/>
      </w:rPr>
      <w:tab/>
    </w:r>
    <w:r w:rsidRPr="00825DBD">
      <w:rPr>
        <w:b/>
        <w:bCs/>
        <w:szCs w:val="24"/>
      </w:rPr>
      <w:tab/>
    </w:r>
    <w:r>
      <w:t>YCCI</w:t>
    </w:r>
  </w:p>
  <w:p w:rsidR="00D30563" w:rsidRPr="00825DBD" w:rsidP="008D3096" w14:paraId="403DE7FB"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D30563" w:rsidRPr="00B17D41" w:rsidP="008D3096" w14:paraId="21F967B8"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D30563" w:rsidRPr="00825DBD" w:rsidP="008D3096" w14:paraId="780CC805"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D30563" w:rsidRPr="00825DBD" w:rsidP="008D3096" w14:paraId="1D626147"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D30563" w:rsidRPr="00825DBD" w:rsidP="008D3096" w14:paraId="623AA533"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D30563" w:rsidP="007519A4" w14:paraId="7EE08F82"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76A4" w:rsidP="005E5583" w14:paraId="2B5D70DD" w14:textId="77777777">
    <w:pPr>
      <w:pStyle w:val="DocTitle"/>
    </w:pPr>
    <w:r>
      <w:rPr>
        <w:noProof/>
      </w:rPr>
      <w:drawing>
        <wp:inline distT="0" distB="0" distL="0" distR="0">
          <wp:extent cx="2505075" cy="742950"/>
          <wp:effectExtent l="0" t="0" r="9525" b="0"/>
          <wp:docPr id="1948424211" name="Picture 1948424211"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948424211"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3B76A4" w:rsidRPr="00825DBD" w:rsidP="007519A4" w14:paraId="3ABF85E2"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Study Close Out (Sponsor) -1003- Procedure</w:t>
    </w:r>
    <w:r w:rsidRPr="00825DBD">
      <w:rPr>
        <w:rFonts w:eastAsiaTheme="majorEastAsia" w:cstheme="majorBidi"/>
        <w:b/>
        <w:spacing w:val="-10"/>
        <w:kern w:val="28"/>
        <w:sz w:val="36"/>
        <w:szCs w:val="56"/>
      </w:rPr>
      <w:fldChar w:fldCharType="end"/>
    </w:r>
  </w:p>
  <w:p w:rsidR="003B76A4" w:rsidP="008D3096" w14:paraId="60800066" w14:textId="77777777">
    <w:pPr>
      <w:rPr>
        <w:b/>
        <w:bCs/>
        <w:szCs w:val="24"/>
      </w:rPr>
    </w:pPr>
  </w:p>
  <w:p w:rsidR="003B76A4" w:rsidRPr="00825DBD" w:rsidP="008D3096" w14:paraId="299C25F8" w14:textId="77777777">
    <w:pPr>
      <w:rPr>
        <w:szCs w:val="24"/>
      </w:rPr>
    </w:pPr>
    <w:r w:rsidRPr="00825DBD">
      <w:rPr>
        <w:b/>
        <w:bCs/>
        <w:szCs w:val="24"/>
      </w:rPr>
      <w:t>Responsible Office:</w:t>
    </w:r>
    <w:r w:rsidRPr="00825DBD">
      <w:rPr>
        <w:b/>
        <w:bCs/>
        <w:szCs w:val="24"/>
      </w:rPr>
      <w:tab/>
    </w:r>
    <w:r w:rsidRPr="00825DBD">
      <w:rPr>
        <w:b/>
        <w:bCs/>
        <w:szCs w:val="24"/>
      </w:rPr>
      <w:tab/>
    </w:r>
    <w:r>
      <w:t>YCCI</w:t>
    </w:r>
  </w:p>
  <w:p w:rsidR="003B76A4" w:rsidRPr="00825DBD" w:rsidP="008D3096" w14:paraId="6669578F"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3B76A4" w:rsidRPr="00B17D41" w:rsidP="008D3096" w14:paraId="7250F930" w14:textId="77777777">
    <w:pPr>
      <w:rPr>
        <w:szCs w:val="24"/>
      </w:rPr>
    </w:pPr>
    <w:r w:rsidRPr="00825DBD">
      <w:rPr>
        <w:b/>
        <w:bCs/>
        <w:szCs w:val="24"/>
      </w:rPr>
      <w:t>Policy Sponsor:</w:t>
    </w:r>
    <w:r w:rsidRPr="00825DBD">
      <w:rPr>
        <w:b/>
        <w:bCs/>
        <w:szCs w:val="24"/>
      </w:rPr>
      <w:tab/>
    </w:r>
    <w:r>
      <w:rPr>
        <w:b/>
        <w:bCs/>
        <w:szCs w:val="24"/>
      </w:rPr>
      <w:tab/>
    </w:r>
    <w:r>
      <w:rPr>
        <w:szCs w:val="24"/>
      </w:rPr>
      <w:t xml:space="preserve">Manuel </w:t>
    </w:r>
    <w:r>
      <w:rPr>
        <w:szCs w:val="24"/>
      </w:rPr>
      <w:t>Avedissian, Erica Rocco</w:t>
    </w:r>
  </w:p>
  <w:p w:rsidR="003B76A4" w:rsidRPr="00825DBD" w:rsidP="008D3096" w14:paraId="2774AA63"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3B76A4" w:rsidRPr="00825DBD" w:rsidP="008D3096" w14:paraId="41B96CDC"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3B76A4" w:rsidRPr="00825DBD" w:rsidP="008D3096" w14:paraId="0192060C"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3B76A4" w:rsidP="007519A4" w14:paraId="59FEB0D5"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319" w:rsidP="005E5583" w14:paraId="1AFD4BFF" w14:textId="77777777">
    <w:pPr>
      <w:pStyle w:val="DocTitle"/>
    </w:pPr>
    <w:r>
      <w:rPr>
        <w:noProof/>
      </w:rPr>
      <w:drawing>
        <wp:inline distT="0" distB="0" distL="0" distR="0">
          <wp:extent cx="2505075" cy="742950"/>
          <wp:effectExtent l="0" t="0" r="9525" b="0"/>
          <wp:docPr id="2003817604" name="Picture 2003817604"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03817604"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893319" w:rsidRPr="00825DBD" w:rsidP="007519A4" w14:paraId="025933FB" w14:textId="77777777">
    <w:pPr>
      <w:rPr>
        <w:rFonts w:eastAsiaTheme="majorEastAsia" w:cstheme="majorBidi"/>
        <w:b/>
        <w:spacing w:val="-10"/>
        <w:kern w:val="28"/>
        <w:szCs w:val="24"/>
      </w:rPr>
    </w:pPr>
    <w:r w:rsidRPr="00825DBD">
      <w:rPr>
        <w:rFonts w:eastAsiaTheme="majorEastAsia" w:cstheme="majorBidi"/>
        <w:b/>
        <w:spacing w:val="-10"/>
        <w:kern w:val="28"/>
        <w:sz w:val="36"/>
        <w:szCs w:val="56"/>
      </w:rPr>
      <w:fldChar w:fldCharType="begin"/>
    </w:r>
    <w:r w:rsidRPr="00825DBD">
      <w:rPr>
        <w:rFonts w:eastAsiaTheme="majorEastAsia" w:cstheme="majorBidi"/>
        <w:b/>
        <w:spacing w:val="-10"/>
        <w:kern w:val="28"/>
        <w:sz w:val="36"/>
        <w:szCs w:val="56"/>
      </w:rPr>
      <w:instrText xml:space="preserve"> DOCVARIABLE </w:instrText>
    </w:r>
    <w:r w:rsidRPr="00825DBD">
      <w:rPr>
        <w:rFonts w:eastAsiaTheme="majorEastAsia" w:cstheme="majorBidi"/>
        <w:b/>
        <w:spacing w:val="-10"/>
        <w:kern w:val="28"/>
        <w:sz w:val="36"/>
        <w:szCs w:val="56"/>
      </w:rPr>
      <w:instrText>Document_Title</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instrText>MERGEFORMAT</w:instrText>
    </w:r>
    <w:r w:rsidRPr="00825DBD">
      <w:rPr>
        <w:rFonts w:eastAsiaTheme="majorEastAsia" w:cstheme="majorBidi"/>
        <w:b/>
        <w:spacing w:val="-10"/>
        <w:kern w:val="28"/>
        <w:sz w:val="36"/>
        <w:szCs w:val="56"/>
      </w:rPr>
      <w:instrText xml:space="preserve"> </w:instrText>
    </w:r>
    <w:r w:rsidRPr="00825DBD">
      <w:rPr>
        <w:rFonts w:eastAsiaTheme="majorEastAsia" w:cstheme="majorBidi"/>
        <w:b/>
        <w:spacing w:val="-10"/>
        <w:kern w:val="28"/>
        <w:sz w:val="36"/>
        <w:szCs w:val="56"/>
      </w:rPr>
      <w:fldChar w:fldCharType="separate"/>
    </w:r>
    <w:r w:rsidRPr="00825DBD">
      <w:rPr>
        <w:rFonts w:eastAsiaTheme="majorEastAsia" w:cstheme="majorBidi"/>
        <w:b/>
        <w:spacing w:val="-10"/>
        <w:kern w:val="28"/>
        <w:sz w:val="36"/>
        <w:szCs w:val="56"/>
      </w:rPr>
      <w:t>Study Close Out (Sponsor) -1003- Procedure</w:t>
    </w:r>
    <w:r w:rsidRPr="00825DBD">
      <w:rPr>
        <w:rFonts w:eastAsiaTheme="majorEastAsia" w:cstheme="majorBidi"/>
        <w:b/>
        <w:spacing w:val="-10"/>
        <w:kern w:val="28"/>
        <w:sz w:val="36"/>
        <w:szCs w:val="56"/>
      </w:rPr>
      <w:fldChar w:fldCharType="end"/>
    </w:r>
  </w:p>
  <w:p w:rsidR="00893319" w:rsidP="008D3096" w14:paraId="332BDC75" w14:textId="77777777">
    <w:pPr>
      <w:rPr>
        <w:b/>
        <w:bCs/>
        <w:szCs w:val="24"/>
      </w:rPr>
    </w:pPr>
  </w:p>
  <w:p w:rsidR="00893319" w:rsidRPr="00825DBD" w:rsidP="008D3096" w14:paraId="34B537CB" w14:textId="77777777">
    <w:pPr>
      <w:rPr>
        <w:szCs w:val="24"/>
      </w:rPr>
    </w:pPr>
    <w:r w:rsidRPr="00825DBD">
      <w:rPr>
        <w:b/>
        <w:bCs/>
        <w:szCs w:val="24"/>
      </w:rPr>
      <w:t>Responsible Office:</w:t>
    </w:r>
    <w:r w:rsidRPr="00825DBD">
      <w:rPr>
        <w:b/>
        <w:bCs/>
        <w:szCs w:val="24"/>
      </w:rPr>
      <w:tab/>
    </w:r>
    <w:r w:rsidRPr="00825DBD">
      <w:rPr>
        <w:b/>
        <w:bCs/>
        <w:szCs w:val="24"/>
      </w:rPr>
      <w:tab/>
    </w:r>
    <w:r>
      <w:t>YCCI</w:t>
    </w:r>
  </w:p>
  <w:p w:rsidR="00893319" w:rsidRPr="00825DBD" w:rsidP="008D3096" w14:paraId="272A3593" w14:textId="77777777">
    <w:pPr>
      <w:rPr>
        <w:szCs w:val="24"/>
      </w:rPr>
    </w:pPr>
    <w:r w:rsidRPr="00825DBD">
      <w:rPr>
        <w:b/>
        <w:bCs/>
        <w:szCs w:val="24"/>
      </w:rPr>
      <w:t xml:space="preserve">Responsible Official: </w:t>
    </w:r>
    <w:r w:rsidRPr="00825DBD">
      <w:rPr>
        <w:b/>
        <w:bCs/>
        <w:szCs w:val="24"/>
      </w:rPr>
      <w:tab/>
    </w:r>
    <w:r w:rsidRPr="00825DBD">
      <w:rPr>
        <w:b/>
        <w:bCs/>
        <w:szCs w:val="24"/>
      </w:rPr>
      <w:tab/>
    </w:r>
    <w:r w:rsidRPr="008C6AB3">
      <w:rPr>
        <w:szCs w:val="24"/>
      </w:rPr>
      <w:t>Co</w:t>
    </w:r>
    <w:r>
      <w:rPr>
        <w:szCs w:val="24"/>
      </w:rPr>
      <w:t>-</w:t>
    </w:r>
    <w:r w:rsidRPr="008C6AB3">
      <w:rPr>
        <w:szCs w:val="24"/>
      </w:rPr>
      <w:t>Directors</w:t>
    </w:r>
  </w:p>
  <w:p w:rsidR="00893319" w:rsidRPr="00B17D41" w:rsidP="008D3096" w14:paraId="1955FF2D" w14:textId="77777777">
    <w:pPr>
      <w:rPr>
        <w:szCs w:val="24"/>
      </w:rPr>
    </w:pPr>
    <w:r w:rsidRPr="00825DBD">
      <w:rPr>
        <w:b/>
        <w:bCs/>
        <w:szCs w:val="24"/>
      </w:rPr>
      <w:t>Policy Sponsor:</w:t>
    </w:r>
    <w:r w:rsidRPr="00825DBD">
      <w:rPr>
        <w:b/>
        <w:bCs/>
        <w:szCs w:val="24"/>
      </w:rPr>
      <w:tab/>
    </w:r>
    <w:r>
      <w:rPr>
        <w:b/>
        <w:bCs/>
        <w:szCs w:val="24"/>
      </w:rPr>
      <w:tab/>
    </w:r>
    <w:r>
      <w:rPr>
        <w:szCs w:val="24"/>
      </w:rPr>
      <w:t>Manuel Avedissian, Erica Rocco</w:t>
    </w:r>
  </w:p>
  <w:p w:rsidR="00893319" w:rsidRPr="00825DBD" w:rsidP="008D3096" w14:paraId="132B32B9" w14:textId="77777777">
    <w:pPr>
      <w:rPr>
        <w:b/>
        <w:bCs/>
        <w:szCs w:val="24"/>
      </w:rPr>
    </w:pPr>
    <w:r w:rsidRPr="00825DBD">
      <w:rPr>
        <w:b/>
        <w:bCs/>
        <w:szCs w:val="24"/>
      </w:rPr>
      <w:t>Document Administrator:</w:t>
    </w:r>
    <w:r w:rsidRPr="00825DBD">
      <w:rPr>
        <w:b/>
        <w:bCs/>
        <w:szCs w:val="24"/>
      </w:rPr>
      <w:tab/>
    </w:r>
    <w:r w:rsidRPr="00825DBD">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Audrey King</w:t>
    </w:r>
    <w:r w:rsidRPr="00825DBD">
      <w:fldChar w:fldCharType="end"/>
    </w:r>
  </w:p>
  <w:p w:rsidR="00893319" w:rsidRPr="00825DBD" w:rsidP="008D3096" w14:paraId="7B45A0B8" w14:textId="77777777">
    <w:pPr>
      <w:rPr>
        <w:szCs w:val="24"/>
      </w:rPr>
    </w:pPr>
    <w:r w:rsidRPr="00825DBD">
      <w:rPr>
        <w:b/>
        <w:bCs/>
        <w:szCs w:val="24"/>
      </w:rPr>
      <w:t xml:space="preserve">Date of Origin: </w:t>
    </w:r>
    <w:r w:rsidRPr="00825DBD">
      <w:rPr>
        <w:b/>
        <w:bCs/>
        <w:szCs w:val="24"/>
      </w:rPr>
      <w:tab/>
    </w:r>
    <w:r w:rsidRPr="00825DBD">
      <w:rPr>
        <w:b/>
        <w:bCs/>
        <w:szCs w:val="24"/>
      </w:rPr>
      <w:tab/>
    </w:r>
    <w:r w:rsidRPr="00825DBD">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No Original</w:t>
    </w:r>
    <w:r>
      <w:t xml:space="preserve"> Creation Date Set</w:t>
    </w:r>
    <w:r w:rsidRPr="00825DBD">
      <w:fldChar w:fldCharType="end"/>
    </w:r>
  </w:p>
  <w:p w:rsidR="00893319" w:rsidRPr="00825DBD" w:rsidP="008D3096" w14:paraId="3933B7EB"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p>
  <w:p w:rsidR="00893319" w:rsidP="007519A4" w14:paraId="10237CA1" w14:textId="77777777">
    <w:pPr>
      <w:pBdr>
        <w:bottom w:val="single" w:sz="6" w:space="1" w:color="auto"/>
      </w:pBdr>
      <w:rPr>
        <w:b/>
        <w:bCs/>
        <w:szCs w:val="24"/>
      </w:rPr>
    </w:pPr>
    <w:r w:rsidRPr="00825DBD">
      <w:rPr>
        <w:b/>
        <w:bCs/>
        <w:szCs w:val="24"/>
      </w:rPr>
      <w:t>Effective Date:</w:t>
    </w:r>
    <w:r w:rsidRPr="00825DBD">
      <w:rPr>
        <w:b/>
        <w:bCs/>
        <w:szCs w:val="24"/>
      </w:rPr>
      <w:tab/>
    </w:r>
    <w:r w:rsidRPr="00825DBD">
      <w:rPr>
        <w:b/>
        <w:bCs/>
        <w:szCs w:val="24"/>
      </w:rPr>
      <w:tab/>
    </w:r>
    <w:r w:rsidRPr="00825DBD">
      <w:rPr>
        <w:b/>
        <w:bCs/>
        <w:szCs w:val="24"/>
      </w:rPr>
      <w:tab/>
    </w:r>
    <w:r w:rsidRPr="00825DBD">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rsidRPr="00825DBD">
      <w:fldChar w:fldCharType="separate"/>
    </w:r>
    <w:r w:rsidRPr="00825DBD">
      <w:t>09/20/2024</w:t>
    </w:r>
    <w:r w:rsidRPr="00825DBD">
      <w:fldChar w:fldCharType="end"/>
    </w:r>
    <w:r w:rsidRPr="00825DBD">
      <w:rPr>
        <w:b/>
        <w:bCs/>
        <w:szCs w:val="24"/>
      </w:rPr>
      <w:tab/>
    </w:r>
    <w:r>
      <w:rPr>
        <w:b/>
        <w:bCs/>
        <w:szCs w:val="24"/>
      </w:rPr>
      <w:br/>
    </w:r>
    <w:r>
      <w:rPr>
        <w:b/>
        <w:bCs/>
        <w:szCs w:val="24"/>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CC24E8"/>
    <w:multiLevelType w:val="hybridMultilevel"/>
    <w:tmpl w:val="D4E6FBD2"/>
    <w:lvl w:ilvl="0">
      <w:start w:val="1"/>
      <w:numFmt w:val="bullet"/>
      <w:lvlText w:val=""/>
      <w:lvlJc w:val="left"/>
      <w:pPr>
        <w:ind w:left="916" w:hanging="360"/>
      </w:pPr>
      <w:rPr>
        <w:rFonts w:ascii="Symbol" w:hAnsi="Symbol" w:hint="default"/>
      </w:rPr>
    </w:lvl>
    <w:lvl w:ilvl="1" w:tentative="1">
      <w:start w:val="1"/>
      <w:numFmt w:val="bullet"/>
      <w:lvlText w:val="o"/>
      <w:lvlJc w:val="left"/>
      <w:pPr>
        <w:ind w:left="1636" w:hanging="360"/>
      </w:pPr>
      <w:rPr>
        <w:rFonts w:ascii="Courier New" w:hAnsi="Courier New" w:cs="Courier New" w:hint="default"/>
      </w:rPr>
    </w:lvl>
    <w:lvl w:ilvl="2" w:tentative="1">
      <w:start w:val="1"/>
      <w:numFmt w:val="bullet"/>
      <w:lvlText w:val=""/>
      <w:lvlJc w:val="left"/>
      <w:pPr>
        <w:ind w:left="2356" w:hanging="360"/>
      </w:pPr>
      <w:rPr>
        <w:rFonts w:ascii="Wingdings" w:hAnsi="Wingdings" w:hint="default"/>
      </w:rPr>
    </w:lvl>
    <w:lvl w:ilvl="3" w:tentative="1">
      <w:start w:val="1"/>
      <w:numFmt w:val="bullet"/>
      <w:lvlText w:val=""/>
      <w:lvlJc w:val="left"/>
      <w:pPr>
        <w:ind w:left="3076" w:hanging="360"/>
      </w:pPr>
      <w:rPr>
        <w:rFonts w:ascii="Symbol" w:hAnsi="Symbol" w:hint="default"/>
      </w:rPr>
    </w:lvl>
    <w:lvl w:ilvl="4" w:tentative="1">
      <w:start w:val="1"/>
      <w:numFmt w:val="bullet"/>
      <w:lvlText w:val="o"/>
      <w:lvlJc w:val="left"/>
      <w:pPr>
        <w:ind w:left="3796" w:hanging="360"/>
      </w:pPr>
      <w:rPr>
        <w:rFonts w:ascii="Courier New" w:hAnsi="Courier New" w:cs="Courier New" w:hint="default"/>
      </w:rPr>
    </w:lvl>
    <w:lvl w:ilvl="5" w:tentative="1">
      <w:start w:val="1"/>
      <w:numFmt w:val="bullet"/>
      <w:lvlText w:val=""/>
      <w:lvlJc w:val="left"/>
      <w:pPr>
        <w:ind w:left="4516" w:hanging="360"/>
      </w:pPr>
      <w:rPr>
        <w:rFonts w:ascii="Wingdings" w:hAnsi="Wingdings" w:hint="default"/>
      </w:rPr>
    </w:lvl>
    <w:lvl w:ilvl="6" w:tentative="1">
      <w:start w:val="1"/>
      <w:numFmt w:val="bullet"/>
      <w:lvlText w:val=""/>
      <w:lvlJc w:val="left"/>
      <w:pPr>
        <w:ind w:left="5236" w:hanging="360"/>
      </w:pPr>
      <w:rPr>
        <w:rFonts w:ascii="Symbol" w:hAnsi="Symbol" w:hint="default"/>
      </w:rPr>
    </w:lvl>
    <w:lvl w:ilvl="7" w:tentative="1">
      <w:start w:val="1"/>
      <w:numFmt w:val="bullet"/>
      <w:lvlText w:val="o"/>
      <w:lvlJc w:val="left"/>
      <w:pPr>
        <w:ind w:left="5956" w:hanging="360"/>
      </w:pPr>
      <w:rPr>
        <w:rFonts w:ascii="Courier New" w:hAnsi="Courier New" w:cs="Courier New" w:hint="default"/>
      </w:rPr>
    </w:lvl>
    <w:lvl w:ilvl="8" w:tentative="1">
      <w:start w:val="1"/>
      <w:numFmt w:val="bullet"/>
      <w:lvlText w:val=""/>
      <w:lvlJc w:val="left"/>
      <w:pPr>
        <w:ind w:left="6676" w:hanging="360"/>
      </w:pPr>
      <w:rPr>
        <w:rFonts w:ascii="Wingdings" w:hAnsi="Wingdings" w:hint="default"/>
      </w:rPr>
    </w:lvl>
  </w:abstractNum>
  <w:abstractNum w:abstractNumId="1" w15:restartNumberingAfterBreak="0">
    <w:nsid w:val="029C592F"/>
    <w:multiLevelType w:val="multilevel"/>
    <w:tmpl w:val="C716202E"/>
    <w:lvl w:ilvl="0">
      <w:start w:val="1"/>
      <w:numFmt w:val="bullet"/>
      <w:lvlText w:val="o"/>
      <w:lvlJc w:val="left"/>
      <w:pPr>
        <w:ind w:left="360" w:hanging="360"/>
      </w:pPr>
      <w:rPr>
        <w:rFonts w:ascii="Courier New" w:hAnsi="Courier New" w:cs="Courier New"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15:restartNumberingAfterBreak="0">
    <w:nsid w:val="06B2013C"/>
    <w:multiLevelType w:val="hybridMultilevel"/>
    <w:tmpl w:val="34CAB66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077E1F69"/>
    <w:multiLevelType w:val="multilevel"/>
    <w:tmpl w:val="97FAE904"/>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7"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9" w15:restartNumberingAfterBreak="0">
    <w:nsid w:val="0ED41BA3"/>
    <w:multiLevelType w:val="hybridMultilevel"/>
    <w:tmpl w:val="9D88193A"/>
    <w:lvl w:ilvl="0">
      <w:start w:val="1"/>
      <w:numFmt w:val="lowerLetter"/>
      <w:lvlText w:val="%1."/>
      <w:lvlJc w:val="left"/>
      <w:pPr>
        <w:ind w:left="1800" w:hanging="360"/>
      </w:pPr>
      <w:rPr>
        <w:rFonts w:eastAsia="Times New Roman"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6" w15:restartNumberingAfterBreak="0">
    <w:nsid w:val="336C6CF7"/>
    <w:multiLevelType w:val="multilevel"/>
    <w:tmpl w:val="1D6ABE4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6396E6E"/>
    <w:multiLevelType w:val="hybridMultilevel"/>
    <w:tmpl w:val="554CAEBA"/>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15:restartNumberingAfterBreak="0">
    <w:nsid w:val="3A73190A"/>
    <w:multiLevelType w:val="hybridMultilevel"/>
    <w:tmpl w:val="1D9C31C4"/>
    <w:lvl w:ilvl="0">
      <w:start w:val="1"/>
      <w:numFmt w:val="lowerLetter"/>
      <w:lvlText w:val="%1."/>
      <w:lvlJc w:val="left"/>
      <w:pPr>
        <w:ind w:left="1800" w:hanging="360"/>
      </w:pPr>
      <w:rPr>
        <w:rFonts w:eastAsia="Times New Roman"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0"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15:restartNumberingAfterBreak="0">
    <w:nsid w:val="4F2D33EE"/>
    <w:multiLevelType w:val="hybridMultilevel"/>
    <w:tmpl w:val="56EC0FAA"/>
    <w:lvl w:ilvl="0">
      <w:start w:val="1"/>
      <w:numFmt w:val="upperLetter"/>
      <w:lvlText w:val="%1."/>
      <w:lvlJc w:val="left"/>
      <w:pPr>
        <w:ind w:left="720" w:hanging="360"/>
      </w:pPr>
      <w:rPr>
        <w:rFonts w:ascii="Calibri" w:eastAsia="Calibri" w:hAnsi="Calibri" w:cs="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591C3DD2"/>
    <w:multiLevelType w:val="hybridMultilevel"/>
    <w:tmpl w:val="2E7CDAC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7" w15:restartNumberingAfterBreak="0">
    <w:nsid w:val="64A71BBE"/>
    <w:multiLevelType w:val="multilevel"/>
    <w:tmpl w:val="9984CF8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5F35DDB"/>
    <w:multiLevelType w:val="hybridMultilevel"/>
    <w:tmpl w:val="3640B706"/>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03B611F"/>
    <w:multiLevelType w:val="multilevel"/>
    <w:tmpl w:val="97FAE904"/>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3"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6"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37" w15:restartNumberingAfterBreak="0">
    <w:nsid w:val="7C133B70"/>
    <w:multiLevelType w:val="hybridMultilevel"/>
    <w:tmpl w:val="0064615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57894480">
    <w:abstractNumId w:val="36"/>
  </w:num>
  <w:num w:numId="2" w16cid:durableId="2019381590">
    <w:abstractNumId w:val="10"/>
  </w:num>
  <w:num w:numId="3" w16cid:durableId="1314800816">
    <w:abstractNumId w:val="8"/>
  </w:num>
  <w:num w:numId="4" w16cid:durableId="660541806">
    <w:abstractNumId w:val="6"/>
  </w:num>
  <w:num w:numId="5" w16cid:durableId="1718890816">
    <w:abstractNumId w:val="13"/>
  </w:num>
  <w:num w:numId="6" w16cid:durableId="1626815938">
    <w:abstractNumId w:val="35"/>
  </w:num>
  <w:num w:numId="7" w16cid:durableId="188033005">
    <w:abstractNumId w:val="5"/>
  </w:num>
  <w:num w:numId="8" w16cid:durableId="2001611608">
    <w:abstractNumId w:val="14"/>
  </w:num>
  <w:num w:numId="9" w16cid:durableId="158431147">
    <w:abstractNumId w:val="19"/>
  </w:num>
  <w:num w:numId="10" w16cid:durableId="1045829789">
    <w:abstractNumId w:val="21"/>
  </w:num>
  <w:num w:numId="11" w16cid:durableId="1776097496">
    <w:abstractNumId w:val="15"/>
  </w:num>
  <w:num w:numId="12" w16cid:durableId="1191451107">
    <w:abstractNumId w:val="31"/>
  </w:num>
  <w:num w:numId="13" w16cid:durableId="1459301750">
    <w:abstractNumId w:val="11"/>
  </w:num>
  <w:num w:numId="14" w16cid:durableId="1259217049">
    <w:abstractNumId w:val="29"/>
  </w:num>
  <w:num w:numId="15" w16cid:durableId="447549081">
    <w:abstractNumId w:val="2"/>
  </w:num>
  <w:num w:numId="16" w16cid:durableId="617378431">
    <w:abstractNumId w:val="32"/>
  </w:num>
  <w:num w:numId="17" w16cid:durableId="1120606456">
    <w:abstractNumId w:val="7"/>
  </w:num>
  <w:num w:numId="18" w16cid:durableId="638460244">
    <w:abstractNumId w:val="26"/>
  </w:num>
  <w:num w:numId="19" w16cid:durableId="1415470845">
    <w:abstractNumId w:val="22"/>
  </w:num>
  <w:num w:numId="20" w16cid:durableId="1461455832">
    <w:abstractNumId w:val="34"/>
  </w:num>
  <w:num w:numId="21" w16cid:durableId="155189563">
    <w:abstractNumId w:val="12"/>
  </w:num>
  <w:num w:numId="22" w16cid:durableId="1399865994">
    <w:abstractNumId w:val="25"/>
  </w:num>
  <w:num w:numId="23" w16cid:durableId="88815730">
    <w:abstractNumId w:val="24"/>
  </w:num>
  <w:num w:numId="24" w16cid:durableId="981694444">
    <w:abstractNumId w:val="0"/>
  </w:num>
  <w:num w:numId="25" w16cid:durableId="1868522407">
    <w:abstractNumId w:val="23"/>
  </w:num>
  <w:num w:numId="26" w16cid:durableId="250703795">
    <w:abstractNumId w:val="30"/>
  </w:num>
  <w:num w:numId="27" w16cid:durableId="696736820">
    <w:abstractNumId w:val="4"/>
  </w:num>
  <w:num w:numId="28" w16cid:durableId="540244717">
    <w:abstractNumId w:val="18"/>
  </w:num>
  <w:num w:numId="29" w16cid:durableId="1086414212">
    <w:abstractNumId w:val="9"/>
  </w:num>
  <w:num w:numId="30" w16cid:durableId="978651303">
    <w:abstractNumId w:val="17"/>
  </w:num>
  <w:num w:numId="31" w16cid:durableId="1469856985">
    <w:abstractNumId w:val="33"/>
  </w:num>
  <w:num w:numId="32" w16cid:durableId="1763796171">
    <w:abstractNumId w:val="28"/>
  </w:num>
  <w:num w:numId="33" w16cid:durableId="977684081">
    <w:abstractNumId w:val="16"/>
  </w:num>
  <w:num w:numId="34" w16cid:durableId="1049379574">
    <w:abstractNumId w:val="3"/>
  </w:num>
  <w:num w:numId="35" w16cid:durableId="1194150504">
    <w:abstractNumId w:val="20"/>
  </w:num>
  <w:num w:numId="36" w16cid:durableId="1316647219">
    <w:abstractNumId w:val="37"/>
  </w:num>
  <w:num w:numId="37" w16cid:durableId="611522466">
    <w:abstractNumId w:val="1"/>
  </w:num>
  <w:num w:numId="38" w16cid:durableId="46875784">
    <w:abstractNumId w:val="27"/>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helton, Nancy">
    <w15:presenceInfo w15:providerId="AD" w15:userId="S::nancy.shelton@yale.edu::fe172cad-a44e-4426-b1e0-4d305a1456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981"/>
    <w:rsid w:val="00003B4C"/>
    <w:rsid w:val="00003B7B"/>
    <w:rsid w:val="00005C14"/>
    <w:rsid w:val="00006876"/>
    <w:rsid w:val="00006C2F"/>
    <w:rsid w:val="00011FCA"/>
    <w:rsid w:val="00014B6B"/>
    <w:rsid w:val="000169BC"/>
    <w:rsid w:val="000169C2"/>
    <w:rsid w:val="00022D91"/>
    <w:rsid w:val="0002391B"/>
    <w:rsid w:val="00025CC9"/>
    <w:rsid w:val="00033FF2"/>
    <w:rsid w:val="0005290F"/>
    <w:rsid w:val="00070F28"/>
    <w:rsid w:val="0007105D"/>
    <w:rsid w:val="000835A5"/>
    <w:rsid w:val="0008413B"/>
    <w:rsid w:val="000941F9"/>
    <w:rsid w:val="000968D8"/>
    <w:rsid w:val="00096F81"/>
    <w:rsid w:val="000A0153"/>
    <w:rsid w:val="000A08B8"/>
    <w:rsid w:val="000A1546"/>
    <w:rsid w:val="000A2594"/>
    <w:rsid w:val="000A5C78"/>
    <w:rsid w:val="000A60CE"/>
    <w:rsid w:val="000A64C5"/>
    <w:rsid w:val="000C570F"/>
    <w:rsid w:val="000D5900"/>
    <w:rsid w:val="000D5F1F"/>
    <w:rsid w:val="000E1DCA"/>
    <w:rsid w:val="000E5793"/>
    <w:rsid w:val="000E6116"/>
    <w:rsid w:val="000E6AFB"/>
    <w:rsid w:val="000F0F28"/>
    <w:rsid w:val="000F19DB"/>
    <w:rsid w:val="000F33BD"/>
    <w:rsid w:val="000F374C"/>
    <w:rsid w:val="000F3F14"/>
    <w:rsid w:val="000F4F5B"/>
    <w:rsid w:val="000F651F"/>
    <w:rsid w:val="000F728C"/>
    <w:rsid w:val="001015D9"/>
    <w:rsid w:val="00105361"/>
    <w:rsid w:val="00107B49"/>
    <w:rsid w:val="00107E52"/>
    <w:rsid w:val="001121DD"/>
    <w:rsid w:val="00113637"/>
    <w:rsid w:val="00117703"/>
    <w:rsid w:val="001213FA"/>
    <w:rsid w:val="00121A11"/>
    <w:rsid w:val="00124484"/>
    <w:rsid w:val="001251D9"/>
    <w:rsid w:val="0012718A"/>
    <w:rsid w:val="0013074D"/>
    <w:rsid w:val="00142309"/>
    <w:rsid w:val="0014765C"/>
    <w:rsid w:val="0015379E"/>
    <w:rsid w:val="0015648B"/>
    <w:rsid w:val="00162BCF"/>
    <w:rsid w:val="0016649B"/>
    <w:rsid w:val="001669A2"/>
    <w:rsid w:val="001719AC"/>
    <w:rsid w:val="0017611A"/>
    <w:rsid w:val="00177A9C"/>
    <w:rsid w:val="00181446"/>
    <w:rsid w:val="001820E8"/>
    <w:rsid w:val="00182572"/>
    <w:rsid w:val="00183283"/>
    <w:rsid w:val="00185993"/>
    <w:rsid w:val="001955CA"/>
    <w:rsid w:val="001970F4"/>
    <w:rsid w:val="001A0CFC"/>
    <w:rsid w:val="001A2D26"/>
    <w:rsid w:val="001A7501"/>
    <w:rsid w:val="001A7AF1"/>
    <w:rsid w:val="001B4791"/>
    <w:rsid w:val="001B4B35"/>
    <w:rsid w:val="001B5AC9"/>
    <w:rsid w:val="001B7B5D"/>
    <w:rsid w:val="001C0799"/>
    <w:rsid w:val="001C1FDD"/>
    <w:rsid w:val="001C49D4"/>
    <w:rsid w:val="001C57F3"/>
    <w:rsid w:val="001C7346"/>
    <w:rsid w:val="001D0E49"/>
    <w:rsid w:val="001D6E12"/>
    <w:rsid w:val="001E2F63"/>
    <w:rsid w:val="001E482E"/>
    <w:rsid w:val="001E7CC9"/>
    <w:rsid w:val="001F2D93"/>
    <w:rsid w:val="001F3BEE"/>
    <w:rsid w:val="001F60D1"/>
    <w:rsid w:val="001F686B"/>
    <w:rsid w:val="001F7A0B"/>
    <w:rsid w:val="002039C7"/>
    <w:rsid w:val="00205B46"/>
    <w:rsid w:val="00210637"/>
    <w:rsid w:val="00211124"/>
    <w:rsid w:val="00211185"/>
    <w:rsid w:val="002130FF"/>
    <w:rsid w:val="00214C14"/>
    <w:rsid w:val="00216640"/>
    <w:rsid w:val="00220BEF"/>
    <w:rsid w:val="00235CE5"/>
    <w:rsid w:val="0024199A"/>
    <w:rsid w:val="00241AD2"/>
    <w:rsid w:val="0024564B"/>
    <w:rsid w:val="00245BD7"/>
    <w:rsid w:val="00245C8F"/>
    <w:rsid w:val="002465D2"/>
    <w:rsid w:val="00247AF1"/>
    <w:rsid w:val="00260B84"/>
    <w:rsid w:val="002632F6"/>
    <w:rsid w:val="00267E18"/>
    <w:rsid w:val="00270074"/>
    <w:rsid w:val="00270C14"/>
    <w:rsid w:val="00271E24"/>
    <w:rsid w:val="002725F4"/>
    <w:rsid w:val="00277B7B"/>
    <w:rsid w:val="00281F82"/>
    <w:rsid w:val="00282C2E"/>
    <w:rsid w:val="00283BBB"/>
    <w:rsid w:val="00285BB2"/>
    <w:rsid w:val="00286C21"/>
    <w:rsid w:val="002936CD"/>
    <w:rsid w:val="002961AE"/>
    <w:rsid w:val="002A21AD"/>
    <w:rsid w:val="002A5D5B"/>
    <w:rsid w:val="002A73EE"/>
    <w:rsid w:val="002A7B86"/>
    <w:rsid w:val="002B175D"/>
    <w:rsid w:val="002B183A"/>
    <w:rsid w:val="002B21E1"/>
    <w:rsid w:val="002B7A89"/>
    <w:rsid w:val="002C4A64"/>
    <w:rsid w:val="002C5207"/>
    <w:rsid w:val="002C691D"/>
    <w:rsid w:val="002C6E0D"/>
    <w:rsid w:val="002D15C4"/>
    <w:rsid w:val="002D3935"/>
    <w:rsid w:val="002D4024"/>
    <w:rsid w:val="002D50E3"/>
    <w:rsid w:val="002D65C1"/>
    <w:rsid w:val="002E0BB3"/>
    <w:rsid w:val="002E63A3"/>
    <w:rsid w:val="002F0024"/>
    <w:rsid w:val="002F3DC2"/>
    <w:rsid w:val="00300226"/>
    <w:rsid w:val="00304E50"/>
    <w:rsid w:val="00312D54"/>
    <w:rsid w:val="003167C8"/>
    <w:rsid w:val="00317E90"/>
    <w:rsid w:val="00320658"/>
    <w:rsid w:val="00321D0F"/>
    <w:rsid w:val="00323BDA"/>
    <w:rsid w:val="00327832"/>
    <w:rsid w:val="00331229"/>
    <w:rsid w:val="00331873"/>
    <w:rsid w:val="00332C67"/>
    <w:rsid w:val="00334D7C"/>
    <w:rsid w:val="00340AF8"/>
    <w:rsid w:val="00343BC4"/>
    <w:rsid w:val="003440EC"/>
    <w:rsid w:val="003472AD"/>
    <w:rsid w:val="0034772D"/>
    <w:rsid w:val="003548BF"/>
    <w:rsid w:val="00364A0D"/>
    <w:rsid w:val="00371C80"/>
    <w:rsid w:val="00376716"/>
    <w:rsid w:val="00387406"/>
    <w:rsid w:val="00390BDE"/>
    <w:rsid w:val="00390FC2"/>
    <w:rsid w:val="00391EEA"/>
    <w:rsid w:val="00392960"/>
    <w:rsid w:val="003941B5"/>
    <w:rsid w:val="003A122D"/>
    <w:rsid w:val="003A24A9"/>
    <w:rsid w:val="003A347D"/>
    <w:rsid w:val="003A622B"/>
    <w:rsid w:val="003B160A"/>
    <w:rsid w:val="003B1AB5"/>
    <w:rsid w:val="003B57D2"/>
    <w:rsid w:val="003B65E2"/>
    <w:rsid w:val="003B76A4"/>
    <w:rsid w:val="003B786B"/>
    <w:rsid w:val="003C246D"/>
    <w:rsid w:val="003C2BD1"/>
    <w:rsid w:val="003C5942"/>
    <w:rsid w:val="003C6822"/>
    <w:rsid w:val="003C73AC"/>
    <w:rsid w:val="003D5567"/>
    <w:rsid w:val="003E13B0"/>
    <w:rsid w:val="003E23FF"/>
    <w:rsid w:val="003E469B"/>
    <w:rsid w:val="003F02CE"/>
    <w:rsid w:val="003F08E7"/>
    <w:rsid w:val="003F1630"/>
    <w:rsid w:val="003F429B"/>
    <w:rsid w:val="003F76D1"/>
    <w:rsid w:val="004038C4"/>
    <w:rsid w:val="004069B9"/>
    <w:rsid w:val="00407B99"/>
    <w:rsid w:val="004142AB"/>
    <w:rsid w:val="0041431B"/>
    <w:rsid w:val="00416917"/>
    <w:rsid w:val="00423312"/>
    <w:rsid w:val="00423D18"/>
    <w:rsid w:val="00425047"/>
    <w:rsid w:val="00426D84"/>
    <w:rsid w:val="00426DC3"/>
    <w:rsid w:val="00430EFA"/>
    <w:rsid w:val="00446703"/>
    <w:rsid w:val="004676A5"/>
    <w:rsid w:val="00475772"/>
    <w:rsid w:val="0047723D"/>
    <w:rsid w:val="00483DE8"/>
    <w:rsid w:val="00491530"/>
    <w:rsid w:val="00493005"/>
    <w:rsid w:val="004968D4"/>
    <w:rsid w:val="004A0C25"/>
    <w:rsid w:val="004A4DD7"/>
    <w:rsid w:val="004A5EBC"/>
    <w:rsid w:val="004A6CF0"/>
    <w:rsid w:val="004B2E2E"/>
    <w:rsid w:val="004B40C4"/>
    <w:rsid w:val="004B4C5C"/>
    <w:rsid w:val="004C2940"/>
    <w:rsid w:val="004C3076"/>
    <w:rsid w:val="004C5C00"/>
    <w:rsid w:val="004C603D"/>
    <w:rsid w:val="004C70F6"/>
    <w:rsid w:val="004D23FD"/>
    <w:rsid w:val="004D72E4"/>
    <w:rsid w:val="004E0064"/>
    <w:rsid w:val="004E39DE"/>
    <w:rsid w:val="004F0266"/>
    <w:rsid w:val="004F03D4"/>
    <w:rsid w:val="004F0A2A"/>
    <w:rsid w:val="004F4EAA"/>
    <w:rsid w:val="004F57B3"/>
    <w:rsid w:val="004F6FC2"/>
    <w:rsid w:val="005027DE"/>
    <w:rsid w:val="0051312B"/>
    <w:rsid w:val="0051401F"/>
    <w:rsid w:val="00520E45"/>
    <w:rsid w:val="005214FC"/>
    <w:rsid w:val="005217FD"/>
    <w:rsid w:val="005240F3"/>
    <w:rsid w:val="0052796E"/>
    <w:rsid w:val="00533692"/>
    <w:rsid w:val="00536769"/>
    <w:rsid w:val="005434C8"/>
    <w:rsid w:val="00552EFC"/>
    <w:rsid w:val="0056675B"/>
    <w:rsid w:val="005668EC"/>
    <w:rsid w:val="00567F11"/>
    <w:rsid w:val="00571237"/>
    <w:rsid w:val="005777ED"/>
    <w:rsid w:val="00577DDD"/>
    <w:rsid w:val="00582FE3"/>
    <w:rsid w:val="00583A24"/>
    <w:rsid w:val="005865E2"/>
    <w:rsid w:val="005970DC"/>
    <w:rsid w:val="005A2ADD"/>
    <w:rsid w:val="005B0A44"/>
    <w:rsid w:val="005B72BB"/>
    <w:rsid w:val="005B7864"/>
    <w:rsid w:val="005C2B0B"/>
    <w:rsid w:val="005C2D1E"/>
    <w:rsid w:val="005C4EC3"/>
    <w:rsid w:val="005C63F4"/>
    <w:rsid w:val="005D491B"/>
    <w:rsid w:val="005D576B"/>
    <w:rsid w:val="005D6BF9"/>
    <w:rsid w:val="005E496E"/>
    <w:rsid w:val="005E5583"/>
    <w:rsid w:val="005F134E"/>
    <w:rsid w:val="005F2121"/>
    <w:rsid w:val="005F5F38"/>
    <w:rsid w:val="00601FBF"/>
    <w:rsid w:val="00602DE4"/>
    <w:rsid w:val="00613E6F"/>
    <w:rsid w:val="00623821"/>
    <w:rsid w:val="00626E02"/>
    <w:rsid w:val="00634424"/>
    <w:rsid w:val="006361EE"/>
    <w:rsid w:val="006401E3"/>
    <w:rsid w:val="0064051E"/>
    <w:rsid w:val="00647956"/>
    <w:rsid w:val="0065016B"/>
    <w:rsid w:val="00652D70"/>
    <w:rsid w:val="00655EEE"/>
    <w:rsid w:val="0066026E"/>
    <w:rsid w:val="00663FE2"/>
    <w:rsid w:val="00665A6B"/>
    <w:rsid w:val="00665E83"/>
    <w:rsid w:val="00666857"/>
    <w:rsid w:val="00667BE5"/>
    <w:rsid w:val="00672221"/>
    <w:rsid w:val="00683203"/>
    <w:rsid w:val="006840C7"/>
    <w:rsid w:val="00684D3C"/>
    <w:rsid w:val="006856D5"/>
    <w:rsid w:val="00692BC0"/>
    <w:rsid w:val="006A0AC1"/>
    <w:rsid w:val="006A453F"/>
    <w:rsid w:val="006A6ABC"/>
    <w:rsid w:val="006B0516"/>
    <w:rsid w:val="006B09DC"/>
    <w:rsid w:val="006B6633"/>
    <w:rsid w:val="006B6C54"/>
    <w:rsid w:val="006B7549"/>
    <w:rsid w:val="006C1388"/>
    <w:rsid w:val="006C1B76"/>
    <w:rsid w:val="006C2776"/>
    <w:rsid w:val="006C6F49"/>
    <w:rsid w:val="006D2A8C"/>
    <w:rsid w:val="006D3CA9"/>
    <w:rsid w:val="006E172D"/>
    <w:rsid w:val="006E201A"/>
    <w:rsid w:val="006E5115"/>
    <w:rsid w:val="006E7105"/>
    <w:rsid w:val="006F2C7F"/>
    <w:rsid w:val="006F2F54"/>
    <w:rsid w:val="006F3221"/>
    <w:rsid w:val="00701E57"/>
    <w:rsid w:val="007125BF"/>
    <w:rsid w:val="00715C85"/>
    <w:rsid w:val="0072321C"/>
    <w:rsid w:val="0072458A"/>
    <w:rsid w:val="00727D8A"/>
    <w:rsid w:val="00731C56"/>
    <w:rsid w:val="0073281C"/>
    <w:rsid w:val="00734FFD"/>
    <w:rsid w:val="007370CD"/>
    <w:rsid w:val="007439CE"/>
    <w:rsid w:val="007519A4"/>
    <w:rsid w:val="0075713A"/>
    <w:rsid w:val="00761900"/>
    <w:rsid w:val="00762C18"/>
    <w:rsid w:val="00770CE2"/>
    <w:rsid w:val="00772D23"/>
    <w:rsid w:val="00780B11"/>
    <w:rsid w:val="00781E25"/>
    <w:rsid w:val="0079028A"/>
    <w:rsid w:val="007A1F86"/>
    <w:rsid w:val="007A5B43"/>
    <w:rsid w:val="007B2AA9"/>
    <w:rsid w:val="007B4D50"/>
    <w:rsid w:val="007B6035"/>
    <w:rsid w:val="007C0005"/>
    <w:rsid w:val="007C4B04"/>
    <w:rsid w:val="007D0518"/>
    <w:rsid w:val="007D3543"/>
    <w:rsid w:val="007D7AD3"/>
    <w:rsid w:val="007E0739"/>
    <w:rsid w:val="007E49BE"/>
    <w:rsid w:val="00801AF1"/>
    <w:rsid w:val="0080537A"/>
    <w:rsid w:val="00805D01"/>
    <w:rsid w:val="008115C4"/>
    <w:rsid w:val="0081404E"/>
    <w:rsid w:val="00816073"/>
    <w:rsid w:val="00823578"/>
    <w:rsid w:val="00825DBD"/>
    <w:rsid w:val="0083680E"/>
    <w:rsid w:val="0084342E"/>
    <w:rsid w:val="00843C71"/>
    <w:rsid w:val="0084451B"/>
    <w:rsid w:val="00845C0D"/>
    <w:rsid w:val="008646D0"/>
    <w:rsid w:val="00866767"/>
    <w:rsid w:val="00873DC4"/>
    <w:rsid w:val="00874AAF"/>
    <w:rsid w:val="00881808"/>
    <w:rsid w:val="00883262"/>
    <w:rsid w:val="00885A7B"/>
    <w:rsid w:val="00886B72"/>
    <w:rsid w:val="008907C9"/>
    <w:rsid w:val="00893319"/>
    <w:rsid w:val="0089772C"/>
    <w:rsid w:val="008A04A8"/>
    <w:rsid w:val="008A19D9"/>
    <w:rsid w:val="008B39F4"/>
    <w:rsid w:val="008B3C71"/>
    <w:rsid w:val="008B6093"/>
    <w:rsid w:val="008C3E77"/>
    <w:rsid w:val="008C6AB3"/>
    <w:rsid w:val="008D3096"/>
    <w:rsid w:val="008D39F7"/>
    <w:rsid w:val="008D4061"/>
    <w:rsid w:val="008E029F"/>
    <w:rsid w:val="008E5B1E"/>
    <w:rsid w:val="008F26E6"/>
    <w:rsid w:val="008F29BF"/>
    <w:rsid w:val="008F421A"/>
    <w:rsid w:val="00900D81"/>
    <w:rsid w:val="00901D63"/>
    <w:rsid w:val="00910061"/>
    <w:rsid w:val="00912D28"/>
    <w:rsid w:val="0091676E"/>
    <w:rsid w:val="00917A22"/>
    <w:rsid w:val="00925EF1"/>
    <w:rsid w:val="0092751C"/>
    <w:rsid w:val="0093328C"/>
    <w:rsid w:val="009372A2"/>
    <w:rsid w:val="00940D77"/>
    <w:rsid w:val="00941327"/>
    <w:rsid w:val="009436C7"/>
    <w:rsid w:val="00947CC3"/>
    <w:rsid w:val="0095126B"/>
    <w:rsid w:val="00957505"/>
    <w:rsid w:val="00961773"/>
    <w:rsid w:val="00963096"/>
    <w:rsid w:val="009668A6"/>
    <w:rsid w:val="00967AD9"/>
    <w:rsid w:val="00976061"/>
    <w:rsid w:val="009907A3"/>
    <w:rsid w:val="00991343"/>
    <w:rsid w:val="00994F0B"/>
    <w:rsid w:val="00995CFC"/>
    <w:rsid w:val="009A548E"/>
    <w:rsid w:val="009B600C"/>
    <w:rsid w:val="009B7DE3"/>
    <w:rsid w:val="009D1DDA"/>
    <w:rsid w:val="009D34BF"/>
    <w:rsid w:val="009D48C3"/>
    <w:rsid w:val="009E0102"/>
    <w:rsid w:val="009E2BD7"/>
    <w:rsid w:val="009E5667"/>
    <w:rsid w:val="009F0B37"/>
    <w:rsid w:val="009F3B0B"/>
    <w:rsid w:val="009F3B91"/>
    <w:rsid w:val="00A00951"/>
    <w:rsid w:val="00A076F7"/>
    <w:rsid w:val="00A17DCB"/>
    <w:rsid w:val="00A215C1"/>
    <w:rsid w:val="00A236C6"/>
    <w:rsid w:val="00A2536F"/>
    <w:rsid w:val="00A32F73"/>
    <w:rsid w:val="00A33EAC"/>
    <w:rsid w:val="00A3471F"/>
    <w:rsid w:val="00A377CD"/>
    <w:rsid w:val="00A409E7"/>
    <w:rsid w:val="00A650F3"/>
    <w:rsid w:val="00A67ACE"/>
    <w:rsid w:val="00A70A1E"/>
    <w:rsid w:val="00A71C6D"/>
    <w:rsid w:val="00A729D2"/>
    <w:rsid w:val="00A72A77"/>
    <w:rsid w:val="00A75191"/>
    <w:rsid w:val="00A85B26"/>
    <w:rsid w:val="00A86DEF"/>
    <w:rsid w:val="00A9139F"/>
    <w:rsid w:val="00A943EA"/>
    <w:rsid w:val="00A9555F"/>
    <w:rsid w:val="00AA137C"/>
    <w:rsid w:val="00AA254E"/>
    <w:rsid w:val="00AB1610"/>
    <w:rsid w:val="00AB373A"/>
    <w:rsid w:val="00AB4044"/>
    <w:rsid w:val="00AC20A7"/>
    <w:rsid w:val="00AC77B6"/>
    <w:rsid w:val="00AD14CA"/>
    <w:rsid w:val="00AD3434"/>
    <w:rsid w:val="00AF06E1"/>
    <w:rsid w:val="00AF1970"/>
    <w:rsid w:val="00AF3552"/>
    <w:rsid w:val="00AF664F"/>
    <w:rsid w:val="00B00901"/>
    <w:rsid w:val="00B00F1D"/>
    <w:rsid w:val="00B013FF"/>
    <w:rsid w:val="00B03C65"/>
    <w:rsid w:val="00B15AD0"/>
    <w:rsid w:val="00B168D5"/>
    <w:rsid w:val="00B17CB6"/>
    <w:rsid w:val="00B17D41"/>
    <w:rsid w:val="00B21E37"/>
    <w:rsid w:val="00B24B0B"/>
    <w:rsid w:val="00B30890"/>
    <w:rsid w:val="00B35EAB"/>
    <w:rsid w:val="00B363A2"/>
    <w:rsid w:val="00B36D9D"/>
    <w:rsid w:val="00B44694"/>
    <w:rsid w:val="00B5414C"/>
    <w:rsid w:val="00B55AAE"/>
    <w:rsid w:val="00B613AC"/>
    <w:rsid w:val="00B62DD6"/>
    <w:rsid w:val="00B63FF2"/>
    <w:rsid w:val="00B66C76"/>
    <w:rsid w:val="00B672AE"/>
    <w:rsid w:val="00B7203C"/>
    <w:rsid w:val="00B73C5A"/>
    <w:rsid w:val="00B73CF8"/>
    <w:rsid w:val="00B74E37"/>
    <w:rsid w:val="00B84669"/>
    <w:rsid w:val="00B874B0"/>
    <w:rsid w:val="00B92FEC"/>
    <w:rsid w:val="00B96065"/>
    <w:rsid w:val="00B96420"/>
    <w:rsid w:val="00BA08B8"/>
    <w:rsid w:val="00BA1272"/>
    <w:rsid w:val="00BB5D55"/>
    <w:rsid w:val="00BB7E60"/>
    <w:rsid w:val="00BC681F"/>
    <w:rsid w:val="00BC6901"/>
    <w:rsid w:val="00BC792A"/>
    <w:rsid w:val="00BD0408"/>
    <w:rsid w:val="00BD1D01"/>
    <w:rsid w:val="00BD3917"/>
    <w:rsid w:val="00BD44E1"/>
    <w:rsid w:val="00BD7B76"/>
    <w:rsid w:val="00BE1E95"/>
    <w:rsid w:val="00BE246A"/>
    <w:rsid w:val="00BF2477"/>
    <w:rsid w:val="00C02678"/>
    <w:rsid w:val="00C03083"/>
    <w:rsid w:val="00C03FCD"/>
    <w:rsid w:val="00C052A7"/>
    <w:rsid w:val="00C05E0B"/>
    <w:rsid w:val="00C14560"/>
    <w:rsid w:val="00C15A23"/>
    <w:rsid w:val="00C23424"/>
    <w:rsid w:val="00C238B8"/>
    <w:rsid w:val="00C25A6C"/>
    <w:rsid w:val="00C32317"/>
    <w:rsid w:val="00C33AD2"/>
    <w:rsid w:val="00C33ED1"/>
    <w:rsid w:val="00C34F07"/>
    <w:rsid w:val="00C3676B"/>
    <w:rsid w:val="00C368D0"/>
    <w:rsid w:val="00C40BFC"/>
    <w:rsid w:val="00C548E9"/>
    <w:rsid w:val="00C54A0E"/>
    <w:rsid w:val="00C57A00"/>
    <w:rsid w:val="00C619F3"/>
    <w:rsid w:val="00C66967"/>
    <w:rsid w:val="00C72AE6"/>
    <w:rsid w:val="00C733C6"/>
    <w:rsid w:val="00C83507"/>
    <w:rsid w:val="00C87EA0"/>
    <w:rsid w:val="00C93800"/>
    <w:rsid w:val="00C961B9"/>
    <w:rsid w:val="00C97FA7"/>
    <w:rsid w:val="00CA7DA2"/>
    <w:rsid w:val="00CB0204"/>
    <w:rsid w:val="00CB34E9"/>
    <w:rsid w:val="00CB64E1"/>
    <w:rsid w:val="00CC03BE"/>
    <w:rsid w:val="00CC4866"/>
    <w:rsid w:val="00CC5F3F"/>
    <w:rsid w:val="00CD4559"/>
    <w:rsid w:val="00CE1E9A"/>
    <w:rsid w:val="00CE7B05"/>
    <w:rsid w:val="00CF044D"/>
    <w:rsid w:val="00CF15DE"/>
    <w:rsid w:val="00CF1FBF"/>
    <w:rsid w:val="00CF4775"/>
    <w:rsid w:val="00D0366B"/>
    <w:rsid w:val="00D043FC"/>
    <w:rsid w:val="00D0769C"/>
    <w:rsid w:val="00D103CA"/>
    <w:rsid w:val="00D25267"/>
    <w:rsid w:val="00D30563"/>
    <w:rsid w:val="00D30A05"/>
    <w:rsid w:val="00D32D6E"/>
    <w:rsid w:val="00D35C33"/>
    <w:rsid w:val="00D36300"/>
    <w:rsid w:val="00D53B78"/>
    <w:rsid w:val="00D541FC"/>
    <w:rsid w:val="00D54292"/>
    <w:rsid w:val="00D557FA"/>
    <w:rsid w:val="00D63424"/>
    <w:rsid w:val="00D705C7"/>
    <w:rsid w:val="00D72598"/>
    <w:rsid w:val="00D73471"/>
    <w:rsid w:val="00D77B54"/>
    <w:rsid w:val="00D802D6"/>
    <w:rsid w:val="00D8057F"/>
    <w:rsid w:val="00D83049"/>
    <w:rsid w:val="00D868D7"/>
    <w:rsid w:val="00D86ED7"/>
    <w:rsid w:val="00D90B52"/>
    <w:rsid w:val="00DA4072"/>
    <w:rsid w:val="00DB2D66"/>
    <w:rsid w:val="00DB398E"/>
    <w:rsid w:val="00DB7C38"/>
    <w:rsid w:val="00DD4275"/>
    <w:rsid w:val="00DE76F3"/>
    <w:rsid w:val="00DF143F"/>
    <w:rsid w:val="00DF174C"/>
    <w:rsid w:val="00E006DC"/>
    <w:rsid w:val="00E0294E"/>
    <w:rsid w:val="00E118D9"/>
    <w:rsid w:val="00E1224D"/>
    <w:rsid w:val="00E125B0"/>
    <w:rsid w:val="00E23839"/>
    <w:rsid w:val="00E268F8"/>
    <w:rsid w:val="00E26904"/>
    <w:rsid w:val="00E3261B"/>
    <w:rsid w:val="00E436E8"/>
    <w:rsid w:val="00E44D3A"/>
    <w:rsid w:val="00E4531C"/>
    <w:rsid w:val="00E51B11"/>
    <w:rsid w:val="00E5410F"/>
    <w:rsid w:val="00E568C8"/>
    <w:rsid w:val="00E56C11"/>
    <w:rsid w:val="00E6151C"/>
    <w:rsid w:val="00E65072"/>
    <w:rsid w:val="00E83FF7"/>
    <w:rsid w:val="00E862D6"/>
    <w:rsid w:val="00E864DF"/>
    <w:rsid w:val="00E8660F"/>
    <w:rsid w:val="00E91234"/>
    <w:rsid w:val="00E912A5"/>
    <w:rsid w:val="00EA13F8"/>
    <w:rsid w:val="00EA5A10"/>
    <w:rsid w:val="00EB1623"/>
    <w:rsid w:val="00EB4343"/>
    <w:rsid w:val="00EB5D9A"/>
    <w:rsid w:val="00ED3E5B"/>
    <w:rsid w:val="00ED7BAA"/>
    <w:rsid w:val="00EE2117"/>
    <w:rsid w:val="00EE49F3"/>
    <w:rsid w:val="00EF1C87"/>
    <w:rsid w:val="00F052C1"/>
    <w:rsid w:val="00F1049E"/>
    <w:rsid w:val="00F15CED"/>
    <w:rsid w:val="00F16648"/>
    <w:rsid w:val="00F23925"/>
    <w:rsid w:val="00F27492"/>
    <w:rsid w:val="00F32810"/>
    <w:rsid w:val="00F335E5"/>
    <w:rsid w:val="00F355A9"/>
    <w:rsid w:val="00F355FD"/>
    <w:rsid w:val="00F43181"/>
    <w:rsid w:val="00F5033D"/>
    <w:rsid w:val="00F5054D"/>
    <w:rsid w:val="00F51E4F"/>
    <w:rsid w:val="00F523BE"/>
    <w:rsid w:val="00F56A07"/>
    <w:rsid w:val="00F60F58"/>
    <w:rsid w:val="00F61B5F"/>
    <w:rsid w:val="00F6541E"/>
    <w:rsid w:val="00F7313A"/>
    <w:rsid w:val="00F75BCF"/>
    <w:rsid w:val="00F75ED4"/>
    <w:rsid w:val="00F81AD6"/>
    <w:rsid w:val="00F91149"/>
    <w:rsid w:val="00FA03B5"/>
    <w:rsid w:val="00FA2343"/>
    <w:rsid w:val="00FA3F38"/>
    <w:rsid w:val="00FB3EB9"/>
    <w:rsid w:val="00FB5D38"/>
    <w:rsid w:val="00FB61A9"/>
    <w:rsid w:val="00FC11DD"/>
    <w:rsid w:val="00FC2170"/>
    <w:rsid w:val="00FC6491"/>
    <w:rsid w:val="00FD0074"/>
    <w:rsid w:val="00FD5361"/>
    <w:rsid w:val="00FD6B92"/>
    <w:rsid w:val="00FD6CFC"/>
    <w:rsid w:val="00FE01DA"/>
    <w:rsid w:val="00FE088A"/>
    <w:rsid w:val="00FE0B5A"/>
    <w:rsid w:val="00FE4DE5"/>
    <w:rsid w:val="00FF4FCC"/>
    <w:rsid w:val="1E72377C"/>
    <w:rsid w:val="1EA2C8D8"/>
    <w:rsid w:val="24EB6DF8"/>
    <w:rsid w:val="34598454"/>
    <w:rsid w:val="35FFEBB2"/>
    <w:rsid w:val="4DF1303D"/>
    <w:rsid w:val="5220AF7C"/>
    <w:rsid w:val="6C64D7C7"/>
    <w:rsid w:val="729E1822"/>
  </w:rsids>
  <w:docVars>
    <w:docVar w:name="AP Job Title" w:val="Not Assigned"/>
    <w:docVar w:name="Date Approved" w:val="09/20/2024"/>
    <w:docVar w:name="Date_Approved" w:val="09/20/2024"/>
    <w:docVar w:name="Document Title" w:val="Study Close Out (Sponsor) -1003- Procedure"/>
    <w:docVar w:name="Document_Title" w:val="Study Close Out (Sponsor) -1003- Procedure"/>
    <w:docVar w:name="Last Periodic Review Date" w:val="09/20/2024"/>
    <w:docVar w:name="Last_Periodic_Review_Date" w:val="09/20/2024"/>
    <w:docVar w:name="Original Creation Date" w:val="Not Set"/>
    <w:docVar w:name="Original_Creation_Date" w:val="No Original Creation Date Set"/>
    <w:docVar w:name="PO Both" w:val="Audrey King"/>
    <w:docVar w:name="PO_Both" w:val="Audrey King"/>
    <w:docVar w:name="WR Both" w:val="Not Assigned"/>
    <w:docVar w:name="WR Department" w:val="Not Assigned"/>
    <w:docVar w:name="__Grammarly_42___1" w:val="H4sIAAAAAAAEAKtWcslP9kxRslIyNDY2NDcyMjaytDA1NbIwNzVQ0lEKTi0uzszPAykwNKgFAKnF37k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uiPriority w:val="99"/>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D30563"/>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D30563"/>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D30563"/>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D30563"/>
    <w:rPr>
      <w:rFonts w:ascii="Arial" w:hAnsi="Arial"/>
      <w:b/>
      <w:sz w:val="24"/>
    </w:rPr>
  </w:style>
  <w:style w:type="character" w:customStyle="1" w:styleId="ListParagraphChar">
    <w:name w:val="List Paragraph Char"/>
    <w:basedOn w:val="DefaultParagraphFont"/>
    <w:link w:val="ListParagraph"/>
    <w:uiPriority w:val="34"/>
    <w:rsid w:val="001015D9"/>
    <w:rPr>
      <w:rFonts w:ascii="Arial" w:hAnsi="Arial"/>
    </w:rPr>
  </w:style>
  <w:style w:type="paragraph" w:styleId="Revision">
    <w:name w:val="Revision"/>
    <w:hidden/>
    <w:uiPriority w:val="99"/>
    <w:semiHidden/>
    <w:rsid w:val="00D54292"/>
    <w:rPr>
      <w:sz w:val="24"/>
    </w:rPr>
  </w:style>
  <w:style w:type="character" w:customStyle="1" w:styleId="Hyperlink0">
    <w:name w:val="Hyperlink.0"/>
    <w:basedOn w:val="DefaultParagraphFont"/>
    <w:rsid w:val="009E566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header" Target="header3.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4.xml" /><Relationship Id="rId17" Type="http://schemas.openxmlformats.org/officeDocument/2006/relationships/footer" Target="footer6.xml" /><Relationship Id="rId18" Type="http://schemas.openxmlformats.org/officeDocument/2006/relationships/footer" Target="footer7.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footer" Target="footer9.xml" /><Relationship Id="rId22" Type="http://schemas.openxmlformats.org/officeDocument/2006/relationships/header" Target="header6.xml" /><Relationship Id="rId23" Type="http://schemas.openxmlformats.org/officeDocument/2006/relationships/footer" Target="footer10.xml" /><Relationship Id="rId24" Type="http://schemas.openxmlformats.org/officeDocument/2006/relationships/hyperlink" Target="mailto:ycci.sop@yale.edu" TargetMode="External" /><Relationship Id="rId25" Type="http://schemas.openxmlformats.org/officeDocument/2006/relationships/header" Target="header7.xml" /><Relationship Id="rId26" Type="http://schemas.openxmlformats.org/officeDocument/2006/relationships/header" Target="header8.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13.xml" /><Relationship Id="rId31" Type="http://schemas.microsoft.com/office/2006/relationships/keyMapCustomizations" Target="customizations.xml" /><Relationship Id="rId32" Type="http://schemas.openxmlformats.org/officeDocument/2006/relationships/theme" Target="theme/theme1.xml" /><Relationship Id="rId33" Type="http://schemas.openxmlformats.org/officeDocument/2006/relationships/numbering" Target="numbering.xml" /><Relationship Id="rId34" Type="http://schemas.openxmlformats.org/officeDocument/2006/relationships/styles" Target="styles.xml" /><Relationship Id="rId35"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3.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4.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Study Close Out (Sponsor) -1003- Procedure</dc:title>
  <dc:creator>Jarosz, Michael</dc:creator>
  <lastModifiedBy>Audrey King</lastModifiedBy>
  <revision>12</revision>
  <lastPrinted>2015-08-17T19:38:00.0000000Z</lastPrinted>
  <dcterms:created xsi:type="dcterms:W3CDTF">2024-09-03T17:23:00.0000000Z</dcterms:created>
  <dcterms:modified xsi:type="dcterms:W3CDTF">2026-02-04T20:46:41.0000000Z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y fmtid="{D5CDD505-2E9C-101B-9397-08002B2CF9AE}" pid="3" name="GrammarlyDocumentId">
    <vt:lpwstr>7edea72663329562ee103ace968ab5454842c14933d8cfaa4363589e8c2fcd39</vt:lpwstr>
  </property>
</Properties>
</file>