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30163" w14:paraId="66FA7F87" w14:textId="77777777">
      <w:pPr>
        <w:spacing w:after="0"/>
        <w:ind w:left="0" w:right="1" w:firstLine="0"/>
      </w:pPr>
      <w:r>
        <w:t xml:space="preserve">Yale Medicine (YM) supports principled interactions with industry that enhance the clinical and educational missions of the School of Medicine and strives to protect these missions from interactions that create actual or perceived conflicts of </w:t>
      </w:r>
      <w:r>
        <w:t>interest.  The complexities of relationships with industry preclude YM from identifying all circumstances in which a conflict of interest may arise or in which an interaction may be inappropriate.  The principles outlined in this policy should guide all re</w:t>
      </w:r>
      <w:r>
        <w:t xml:space="preserve">lationships or interactions between YM clinicians and industry.  For additional guidance or clarification on this policy, YM clinicians should consult with </w:t>
      </w:r>
      <w:r>
        <w:t>their</w:t>
      </w:r>
      <w:r>
        <w:t xml:space="preserve"> </w:t>
      </w:r>
    </w:p>
    <w:p w:rsidR="00930163" w14:paraId="32FB3DF4" w14:textId="77777777">
      <w:pPr>
        <w:spacing w:after="0"/>
        <w:ind w:left="0" w:right="1" w:firstLine="0"/>
      </w:pPr>
      <w:r>
        <w:t>Department Chair or Section Chief, or YM Office of Clinical Affairs or Yale University Confli</w:t>
      </w:r>
      <w:r>
        <w:t xml:space="preserve">ct of Interest Office. </w:t>
      </w:r>
    </w:p>
    <w:p w:rsidR="00930163" w14:paraId="6B84804C" w14:textId="77777777">
      <w:pPr>
        <w:spacing w:after="14" w:line="259" w:lineRule="auto"/>
        <w:ind w:left="0" w:firstLine="0"/>
      </w:pPr>
      <w:r>
        <w:t xml:space="preserve"> </w:t>
      </w:r>
    </w:p>
    <w:p w:rsidR="00930163" w14:paraId="553AC876" w14:textId="77777777">
      <w:pPr>
        <w:numPr>
          <w:ilvl w:val="0"/>
          <w:numId w:val="1"/>
        </w:numPr>
        <w:ind w:right="1" w:hanging="360"/>
      </w:pPr>
      <w:r>
        <w:t xml:space="preserve">Introduction </w:t>
      </w:r>
    </w:p>
    <w:p w:rsidR="00930163" w14:paraId="4B294396" w14:textId="77777777">
      <w:pPr>
        <w:numPr>
          <w:ilvl w:val="1"/>
          <w:numId w:val="1"/>
        </w:numPr>
        <w:spacing w:after="2"/>
        <w:ind w:right="1" w:hanging="360"/>
      </w:pPr>
      <w:r>
        <w:t xml:space="preserve">Yale Medicine strives to provide the highest quality health care to its patients. Through its clinical activity, YM also supports the medical education, training, and clinical research missions of the Yale School of </w:t>
      </w:r>
      <w:r>
        <w:t>Medicine (YSM). In some cases, interactions between YM clinicians and industry (</w:t>
      </w:r>
      <w:r>
        <w:t>i.e.</w:t>
      </w:r>
      <w:r>
        <w:t xml:space="preserve"> biomedical, pharmaceutical, and medical device companies and any other companies that make products used in the treatment of patients or the provision of medical care) can</w:t>
      </w:r>
      <w:r>
        <w:t xml:space="preserve"> promote these missions and have a positive impact on patient care. Indeed, Yale University encourages its faculty “to consult widely, and to engage in other activities that may benefit not only the participants but also the University itself, and the larg</w:t>
      </w:r>
      <w:r>
        <w:t>er public”.  These interactions with industry, however, must adhere to the highest ethical and professional standards and must be intended and designed to enhance patient care, to improve the practice of medicine, or to support medical education.</w:t>
      </w:r>
      <w:r>
        <w:rPr>
          <w:sz w:val="32"/>
        </w:rPr>
        <w:t xml:space="preserve"> </w:t>
      </w:r>
    </w:p>
    <w:p w:rsidR="00930163" w14:paraId="0912C0D7" w14:textId="77777777">
      <w:pPr>
        <w:numPr>
          <w:ilvl w:val="1"/>
          <w:numId w:val="1"/>
        </w:numPr>
        <w:spacing w:after="0"/>
        <w:ind w:right="1" w:hanging="360"/>
      </w:pPr>
      <w:r>
        <w:t>The purp</w:t>
      </w:r>
      <w:r>
        <w:t xml:space="preserve">ose of this policy is to increase the awareness of YM clinicians about the potential for conflicts of interest arising from relationships with industry and to establish parameters for these relationships so that actual or potential conflicts maybe avoided </w:t>
      </w:r>
      <w:r>
        <w:t>or properly managed.</w:t>
      </w:r>
      <w:r>
        <w:rPr>
          <w:sz w:val="32"/>
        </w:rPr>
        <w:t xml:space="preserve"> </w:t>
      </w:r>
    </w:p>
    <w:p w:rsidR="00930163" w14:paraId="2F7CA870" w14:textId="77777777">
      <w:pPr>
        <w:spacing w:after="58" w:line="259" w:lineRule="auto"/>
        <w:ind w:left="360" w:firstLine="0"/>
      </w:pPr>
      <w:r>
        <w:t xml:space="preserve"> </w:t>
      </w:r>
    </w:p>
    <w:p w:rsidR="00930163" w14:paraId="5C568A3B" w14:textId="77777777">
      <w:pPr>
        <w:numPr>
          <w:ilvl w:val="0"/>
          <w:numId w:val="1"/>
        </w:numPr>
        <w:spacing w:after="57" w:line="259" w:lineRule="auto"/>
        <w:ind w:right="1" w:hanging="360"/>
      </w:pPr>
      <w:r>
        <w:rPr>
          <w:color w:val="211D1E"/>
        </w:rPr>
        <w:t>Scope of the Policy</w:t>
      </w:r>
      <w:r>
        <w:t xml:space="preserve"> </w:t>
      </w:r>
    </w:p>
    <w:p w:rsidR="00930163" w14:paraId="7F01E673" w14:textId="77777777">
      <w:pPr>
        <w:numPr>
          <w:ilvl w:val="1"/>
          <w:numId w:val="1"/>
        </w:numPr>
        <w:spacing w:after="0"/>
        <w:ind w:right="1" w:hanging="360"/>
      </w:pPr>
      <w:r>
        <w:t>This policy applies to all physicians, PAs, APRNs, RNs, midwives, or other clinicians who practice in Yale Medicine (hereinafter “Clinical Personnel”).</w:t>
      </w:r>
      <w:r>
        <w:rPr>
          <w:sz w:val="32"/>
        </w:rPr>
        <w:t xml:space="preserve"> </w:t>
      </w:r>
    </w:p>
    <w:p w:rsidR="00930163" w14:paraId="06F2D4FF" w14:textId="77777777">
      <w:pPr>
        <w:numPr>
          <w:ilvl w:val="1"/>
          <w:numId w:val="1"/>
        </w:numPr>
        <w:spacing w:after="0"/>
        <w:ind w:right="1" w:hanging="360"/>
      </w:pPr>
      <w:r>
        <w:t xml:space="preserve">All clinical personnel who are employed by Yale School of </w:t>
      </w:r>
      <w:r>
        <w:t xml:space="preserve">Medicine are expected to follow this policy, </w:t>
      </w:r>
      <w:r>
        <w:t>regardless</w:t>
      </w:r>
      <w:r>
        <w:t xml:space="preserve"> if they are working on or off the Yale campus.</w:t>
      </w:r>
      <w:r>
        <w:rPr>
          <w:sz w:val="32"/>
        </w:rPr>
        <w:t xml:space="preserve"> </w:t>
      </w:r>
    </w:p>
    <w:p w:rsidR="00930163" w14:paraId="2CE200FF" w14:textId="77777777">
      <w:pPr>
        <w:numPr>
          <w:ilvl w:val="1"/>
          <w:numId w:val="1"/>
        </w:numPr>
        <w:spacing w:after="0"/>
        <w:ind w:right="1" w:hanging="360"/>
      </w:pPr>
      <w:r>
        <w:t xml:space="preserve">This policy supplements the University’s policies on conflict of interest. While this policy addresses many aspects of industry relationships, clinical </w:t>
      </w:r>
      <w:r>
        <w:t>personnel are expected to comply with all other University policies and principles relating to interactions with industry including, but not limited to the following:</w:t>
      </w:r>
      <w:r>
        <w:rPr>
          <w:sz w:val="32"/>
        </w:rPr>
        <w:t xml:space="preserve"> </w:t>
      </w:r>
    </w:p>
    <w:p w:rsidR="00930163" w14:paraId="754CFF9D" w14:textId="557A4AB8">
      <w:pPr>
        <w:numPr>
          <w:ilvl w:val="4"/>
          <w:numId w:val="11"/>
        </w:numPr>
        <w:spacing w:after="3" w:line="244" w:lineRule="auto"/>
        <w:ind w:hanging="360"/>
      </w:pPr>
      <w:r>
        <w:t xml:space="preserve">University Policy on Conflict of Interest and Conflict of Commitment, </w:t>
      </w:r>
      <w:hyperlink r:id="rId7" w:history="1">
        <w:r w:rsidRPr="00283282">
          <w:rPr>
            <w:rStyle w:val="Hyperlink"/>
          </w:rPr>
          <w:t>https://your.yale.edu/research-support/conflict-interest-office</w:t>
        </w:r>
      </w:hyperlink>
    </w:p>
    <w:p w:rsidR="00930163" w:rsidP="00283282" w14:paraId="3C0C403B" w14:textId="18E28365">
      <w:pPr>
        <w:numPr>
          <w:ilvl w:val="4"/>
          <w:numId w:val="11"/>
        </w:numPr>
        <w:spacing w:after="0"/>
        <w:ind w:hanging="360"/>
      </w:pPr>
      <w:r>
        <w:t xml:space="preserve">Disclosure of External Activities and Financial Interests: All faculty members with </w:t>
      </w:r>
      <w:r>
        <w:t>University</w:t>
      </w:r>
      <w:r>
        <w:t xml:space="preserve"> appointments of greater than 50%; all faculty who hold administrative positions; and all faculty and non–faculty personnel who are respons</w:t>
      </w:r>
      <w:r>
        <w:t xml:space="preserve">ible for the </w:t>
      </w:r>
    </w:p>
    <w:p w:rsidR="00930163" w:rsidP="00283282" w14:paraId="3D08F82B" w14:textId="1F86C576">
      <w:pPr>
        <w:spacing w:after="0"/>
        <w:ind w:left="2520" w:right="1" w:firstLine="0"/>
      </w:pPr>
      <w:r>
        <w:t xml:space="preserve">design, conduct or reporting of research are required annually to submit a disclosure of their external activities and financial interests, </w:t>
      </w:r>
      <w:hyperlink r:id="rId8" w:history="1">
        <w:r w:rsidRPr="00283282">
          <w:rPr>
            <w:rStyle w:val="Hyperlink"/>
          </w:rPr>
          <w:t>https://your.yale.edu/research-support/conflict-interest-office/policies-procedures-guidance</w:t>
        </w:r>
      </w:hyperlink>
    </w:p>
    <w:p w:rsidR="00930163" w14:paraId="1C255035" w14:textId="35FAC24A">
      <w:pPr>
        <w:numPr>
          <w:ilvl w:val="4"/>
          <w:numId w:val="11"/>
        </w:numPr>
        <w:spacing w:after="3" w:line="244" w:lineRule="auto"/>
        <w:ind w:hanging="360"/>
      </w:pPr>
      <w:r>
        <w:t xml:space="preserve">Policy 2201: Gifts from External Parties to Employees, </w:t>
      </w:r>
      <w:hyperlink r:id="rId9">
        <w:r>
          <w:rPr>
            <w:rStyle w:val="Hyperlink"/>
          </w:rPr>
          <w:t>https://your.yale.edu/policies-procedures/policies/2201-gifts-external-parties-employees</w:t>
        </w:r>
      </w:hyperlink>
    </w:p>
    <w:p w:rsidR="00930163" w14:paraId="5E82B8C6" w14:textId="76E68932">
      <w:pPr>
        <w:numPr>
          <w:ilvl w:val="4"/>
          <w:numId w:val="11"/>
        </w:numPr>
        <w:spacing w:after="3" w:line="244" w:lineRule="auto"/>
        <w:ind w:hanging="360"/>
      </w:pPr>
      <w:r>
        <w:t xml:space="preserve">Policy 3201: General Purchasing, </w:t>
      </w:r>
      <w:hyperlink r:id="rId10" w:history="1">
        <w:r w:rsidRPr="00283282">
          <w:rPr>
            <w:rStyle w:val="Hyperlink"/>
          </w:rPr>
          <w:t>https://your.yale.edu/policies-procedures/procedures/3201-pr01-purchase-requisition-process</w:t>
        </w:r>
      </w:hyperlink>
    </w:p>
    <w:p w:rsidR="00930163" w14:paraId="57F7749F" w14:textId="3534B0D8">
      <w:pPr>
        <w:numPr>
          <w:ilvl w:val="4"/>
          <w:numId w:val="11"/>
        </w:numPr>
        <w:spacing w:after="3" w:line="244" w:lineRule="auto"/>
        <w:ind w:hanging="360"/>
      </w:pPr>
      <w:r>
        <w:t>Standards of Business Conduct,</w:t>
      </w:r>
      <w:hyperlink r:id="rId11">
        <w:r>
          <w:rPr>
            <w:color w:val="0000FF"/>
          </w:rPr>
          <w:t xml:space="preserve"> </w:t>
        </w:r>
      </w:hyperlink>
      <w:r w:rsidRPr="00283282">
        <w:t xml:space="preserve"> </w:t>
      </w:r>
      <w:hyperlink r:id="rId12" w:history="1">
        <w:r w:rsidRPr="00283282">
          <w:rPr>
            <w:rStyle w:val="Hyperlink"/>
          </w:rPr>
          <w:t>https://your.yale.edu/policies-procedures/other/yale-university-institutional-standards-conduct</w:t>
        </w:r>
      </w:hyperlink>
      <w:r>
        <w:rPr>
          <w:sz w:val="32"/>
        </w:rPr>
        <w:t xml:space="preserve"> </w:t>
      </w:r>
    </w:p>
    <w:p w:rsidR="00930163" w14:paraId="4B41D8CB" w14:textId="77777777">
      <w:pPr>
        <w:spacing w:after="17" w:line="259" w:lineRule="auto"/>
        <w:ind w:left="1800" w:firstLine="0"/>
      </w:pPr>
      <w:r>
        <w:rPr>
          <w:sz w:val="28"/>
        </w:rPr>
        <w:t xml:space="preserve"> </w:t>
      </w:r>
    </w:p>
    <w:p w:rsidR="00930163" w14:paraId="3826C634" w14:textId="77777777">
      <w:pPr>
        <w:numPr>
          <w:ilvl w:val="0"/>
          <w:numId w:val="1"/>
        </w:numPr>
        <w:ind w:right="1" w:hanging="360"/>
      </w:pPr>
      <w:r>
        <w:t xml:space="preserve">Gifts </w:t>
      </w:r>
    </w:p>
    <w:p w:rsidR="00930163" w14:paraId="428E864B" w14:textId="77777777">
      <w:pPr>
        <w:numPr>
          <w:ilvl w:val="1"/>
          <w:numId w:val="1"/>
        </w:numPr>
        <w:ind w:right="1" w:hanging="360"/>
      </w:pPr>
      <w:r>
        <w:t>Clinical personnel shall not accept personal gifts from industry representatives (</w:t>
      </w:r>
      <w:r>
        <w:t>i.e.</w:t>
      </w:r>
      <w:r>
        <w:t xml:space="preserve"> all sales marketing, or other personnel who promote industry products) under any circumstances. </w:t>
      </w:r>
    </w:p>
    <w:p w:rsidR="00930163" w14:paraId="70C2B712" w14:textId="77777777">
      <w:pPr>
        <w:numPr>
          <w:ilvl w:val="1"/>
          <w:numId w:val="1"/>
        </w:numPr>
        <w:ind w:right="1" w:hanging="360"/>
      </w:pPr>
      <w:r>
        <w:t>In this policy, the term “gift” means any item, product, or service, reg</w:t>
      </w:r>
      <w:r>
        <w:t>ardless of the nature, purpose, or value, except in the limited circumstances described below. The term includes, but is not limited to, pens, notepads, and other promotional items; cash; food and drink, except in the limited circumstances described in Sec</w:t>
      </w:r>
      <w:r>
        <w:t>tion D of this policy; entertainment such as tickets to events, golf, and other sports outings; hotels, transportation, and other travel expenses, except in the limited circumstances described in Section J of this policy; stock, equity, and other ownership</w:t>
      </w:r>
      <w:r>
        <w:t xml:space="preserve"> interests; discounts on products or services. </w:t>
      </w:r>
    </w:p>
    <w:p w:rsidR="00930163" w14:paraId="78F626D8" w14:textId="77777777">
      <w:pPr>
        <w:numPr>
          <w:ilvl w:val="1"/>
          <w:numId w:val="1"/>
        </w:numPr>
        <w:ind w:right="1" w:hanging="360"/>
      </w:pPr>
      <w:r>
        <w:t xml:space="preserve">Clinical personnel may have ownership interests, but it cannot be acquired as a gift or reward from their interactions with industry representatives. </w:t>
      </w:r>
    </w:p>
    <w:p w:rsidR="00930163" w14:paraId="163D2FAC" w14:textId="77777777">
      <w:pPr>
        <w:numPr>
          <w:ilvl w:val="1"/>
          <w:numId w:val="1"/>
        </w:numPr>
        <w:spacing w:after="47" w:line="268" w:lineRule="auto"/>
        <w:ind w:right="1" w:hanging="360"/>
      </w:pPr>
      <w:r>
        <w:t>The following are not considered “personal gifts” under t</w:t>
      </w:r>
      <w:r>
        <w:t xml:space="preserve">his policy: </w:t>
      </w:r>
    </w:p>
    <w:p w:rsidR="00930163" w14:paraId="445A8F0F" w14:textId="77777777">
      <w:pPr>
        <w:numPr>
          <w:ilvl w:val="4"/>
          <w:numId w:val="12"/>
        </w:numPr>
        <w:ind w:right="1" w:hanging="360"/>
      </w:pPr>
      <w:r>
        <w:t xml:space="preserve">Books, charts, or other materials used for patient care or for training purposes may be accepted if distributed through the relevant department </w:t>
      </w:r>
    </w:p>
    <w:p w:rsidR="00930163" w14:paraId="612F076B" w14:textId="77777777">
      <w:pPr>
        <w:numPr>
          <w:ilvl w:val="4"/>
          <w:numId w:val="12"/>
        </w:numPr>
        <w:ind w:right="1" w:hanging="360"/>
      </w:pPr>
      <w:r>
        <w:t>Payments for contractual services may be accepted if the engagement complies with this policy (see</w:t>
      </w:r>
      <w:r>
        <w:t xml:space="preserve"> the Consulting and Industry-sponsored Educational Programs sections below) </w:t>
      </w:r>
    </w:p>
    <w:p w:rsidR="00930163" w14:paraId="643C6CF5" w14:textId="77777777">
      <w:pPr>
        <w:numPr>
          <w:ilvl w:val="4"/>
          <w:numId w:val="12"/>
        </w:numPr>
        <w:spacing w:after="7"/>
        <w:ind w:right="1" w:hanging="360"/>
      </w:pPr>
      <w:r>
        <w:t xml:space="preserve">Unrestricted educational funds provided to a School of Medicine department or section. </w:t>
      </w:r>
    </w:p>
    <w:p w:rsidR="00930163" w14:paraId="7D2CF214" w14:textId="77777777">
      <w:pPr>
        <w:spacing w:after="57" w:line="259" w:lineRule="auto"/>
        <w:ind w:left="2520" w:firstLine="0"/>
      </w:pPr>
      <w:r>
        <w:t xml:space="preserve"> </w:t>
      </w:r>
    </w:p>
    <w:p w:rsidR="00930163" w14:paraId="404FEBDE" w14:textId="77777777">
      <w:pPr>
        <w:numPr>
          <w:ilvl w:val="0"/>
          <w:numId w:val="1"/>
        </w:numPr>
        <w:ind w:right="1" w:hanging="360"/>
      </w:pPr>
      <w:r>
        <w:t xml:space="preserve">Meals </w:t>
      </w:r>
    </w:p>
    <w:p w:rsidR="00930163" w14:paraId="55186E33" w14:textId="77777777">
      <w:pPr>
        <w:numPr>
          <w:ilvl w:val="2"/>
          <w:numId w:val="14"/>
        </w:numPr>
        <w:spacing w:after="0"/>
        <w:ind w:right="1" w:hanging="360"/>
      </w:pPr>
      <w:r>
        <w:t xml:space="preserve">Industry-supplied or supported food or drinks are considered personal gifts and </w:t>
      </w:r>
      <w:r>
        <w:t>may not be accepted by Clinical Personnel on-campus or off-campus, except in the limited circumstances discussed below.</w:t>
      </w:r>
      <w:r>
        <w:rPr>
          <w:sz w:val="32"/>
        </w:rPr>
        <w:t xml:space="preserve"> </w:t>
      </w:r>
    </w:p>
    <w:p w:rsidR="00930163" w14:paraId="25489077" w14:textId="77777777">
      <w:pPr>
        <w:numPr>
          <w:ilvl w:val="2"/>
          <w:numId w:val="14"/>
        </w:numPr>
        <w:ind w:right="1" w:hanging="360"/>
      </w:pPr>
      <w:r>
        <w:t>Industry-supplied food or drinks may only be accepted:</w:t>
      </w:r>
      <w:r>
        <w:rPr>
          <w:sz w:val="32"/>
        </w:rPr>
        <w:t xml:space="preserve"> </w:t>
      </w:r>
    </w:p>
    <w:p w:rsidR="00930163" w14:paraId="6BDAFB52" w14:textId="77777777">
      <w:pPr>
        <w:numPr>
          <w:ilvl w:val="4"/>
          <w:numId w:val="13"/>
        </w:numPr>
        <w:spacing w:after="11"/>
        <w:ind w:right="1" w:hanging="360"/>
      </w:pPr>
      <w:r>
        <w:t xml:space="preserve">If provided in connection with attendance at programs compliant with the </w:t>
      </w:r>
    </w:p>
    <w:p w:rsidR="00930163" w14:paraId="4AE86DAD" w14:textId="77777777">
      <w:pPr>
        <w:spacing w:after="65"/>
        <w:ind w:left="2520" w:right="1" w:firstLine="0"/>
      </w:pPr>
      <w:r>
        <w:t>Accre</w:t>
      </w:r>
      <w:r>
        <w:t xml:space="preserve">ditation Council on Continuing Medical Education (ACCME) Standards for </w:t>
      </w:r>
    </w:p>
    <w:p w:rsidR="00930163" w14:paraId="51C46D79" w14:textId="77777777">
      <w:pPr>
        <w:spacing w:after="0"/>
        <w:ind w:left="2520" w:right="1" w:firstLine="0"/>
      </w:pPr>
      <w:r>
        <w:t xml:space="preserve">Commercial </w:t>
      </w:r>
      <w:r>
        <w:t>Support;</w:t>
      </w:r>
      <w:r>
        <w:rPr>
          <w:sz w:val="32"/>
        </w:rPr>
        <w:t xml:space="preserve"> </w:t>
      </w:r>
    </w:p>
    <w:p w:rsidR="00930163" w14:paraId="77A89CCF" w14:textId="77777777">
      <w:pPr>
        <w:numPr>
          <w:ilvl w:val="4"/>
          <w:numId w:val="13"/>
        </w:numPr>
        <w:spacing w:after="0"/>
        <w:ind w:right="1" w:hanging="360"/>
      </w:pPr>
      <w:r>
        <w:t>As a reasonable and necessary travel expense associated with services rendered in accordance with Section E of this Policy (</w:t>
      </w:r>
      <w:r>
        <w:t>e.g.</w:t>
      </w:r>
      <w:r>
        <w:t xml:space="preserve"> approved consulting activity); or</w:t>
      </w:r>
      <w:r>
        <w:rPr>
          <w:sz w:val="32"/>
        </w:rPr>
        <w:t xml:space="preserve"> </w:t>
      </w:r>
    </w:p>
    <w:p w:rsidR="00930163" w14:paraId="1A94B9F2" w14:textId="77777777">
      <w:pPr>
        <w:numPr>
          <w:ilvl w:val="4"/>
          <w:numId w:val="13"/>
        </w:numPr>
        <w:spacing w:after="11"/>
        <w:ind w:right="1" w:hanging="360"/>
      </w:pPr>
      <w:r>
        <w:t>If provided in connection with attendance at scientific or professional society meeting events open to all meeting attendees.</w:t>
      </w:r>
      <w:r>
        <w:rPr>
          <w:sz w:val="32"/>
        </w:rPr>
        <w:t xml:space="preserve"> </w:t>
      </w:r>
    </w:p>
    <w:p w:rsidR="00930163" w14:paraId="56AE3F6C" w14:textId="77777777">
      <w:pPr>
        <w:spacing w:after="0" w:line="259" w:lineRule="auto"/>
        <w:ind w:left="2520" w:firstLine="0"/>
      </w:pPr>
      <w:r>
        <w:rPr>
          <w:sz w:val="32"/>
        </w:rPr>
        <w:t xml:space="preserve"> </w:t>
      </w:r>
    </w:p>
    <w:p w:rsidR="00930163" w14:paraId="75C3E926" w14:textId="77777777">
      <w:pPr>
        <w:numPr>
          <w:ilvl w:val="0"/>
          <w:numId w:val="1"/>
        </w:numPr>
        <w:spacing w:after="70"/>
        <w:ind w:right="1" w:hanging="360"/>
      </w:pPr>
      <w:r>
        <w:t xml:space="preserve">Consulting </w:t>
      </w:r>
    </w:p>
    <w:p w:rsidR="00930163" w14:paraId="77D44B9D" w14:textId="77777777">
      <w:pPr>
        <w:numPr>
          <w:ilvl w:val="1"/>
          <w:numId w:val="1"/>
        </w:numPr>
        <w:spacing w:after="0"/>
        <w:ind w:right="1" w:hanging="360"/>
      </w:pPr>
      <w:r>
        <w:t>Clinical Personnel may consult with industry subject to the following requirements:</w:t>
      </w:r>
      <w:r>
        <w:rPr>
          <w:sz w:val="32"/>
        </w:rPr>
        <w:t xml:space="preserve"> </w:t>
      </w:r>
    </w:p>
    <w:p w:rsidR="00930163" w14:paraId="2665CD22" w14:textId="77777777">
      <w:pPr>
        <w:numPr>
          <w:ilvl w:val="4"/>
          <w:numId w:val="10"/>
        </w:numPr>
        <w:spacing w:after="0"/>
        <w:ind w:right="1" w:hanging="360"/>
      </w:pPr>
      <w:r>
        <w:t xml:space="preserve">The engagement must be </w:t>
      </w:r>
      <w:r>
        <w:t xml:space="preserve">governed by a written agreement specifying the service(s) to be provided and the compensation to be </w:t>
      </w:r>
      <w:r>
        <w:t>paid;</w:t>
      </w:r>
      <w:r>
        <w:rPr>
          <w:sz w:val="32"/>
        </w:rPr>
        <w:t xml:space="preserve"> </w:t>
      </w:r>
    </w:p>
    <w:p w:rsidR="00930163" w14:paraId="2A7B5803" w14:textId="77777777">
      <w:pPr>
        <w:numPr>
          <w:ilvl w:val="4"/>
          <w:numId w:val="10"/>
        </w:numPr>
        <w:spacing w:after="0"/>
        <w:ind w:right="1" w:hanging="360"/>
      </w:pPr>
      <w:r>
        <w:t xml:space="preserve">Payment must be at fair market value and must be commensurate with the time and effort for the contractual </w:t>
      </w:r>
      <w:r>
        <w:t>services;</w:t>
      </w:r>
      <w:r>
        <w:t xml:space="preserve"> </w:t>
      </w:r>
      <w:r>
        <w:rPr>
          <w:sz w:val="32"/>
        </w:rPr>
        <w:t xml:space="preserve"> </w:t>
      </w:r>
    </w:p>
    <w:p w:rsidR="00930163" w14:paraId="58EC2994" w14:textId="77777777">
      <w:pPr>
        <w:numPr>
          <w:ilvl w:val="4"/>
          <w:numId w:val="10"/>
        </w:numPr>
        <w:spacing w:after="67"/>
        <w:ind w:right="1" w:hanging="360"/>
      </w:pPr>
      <w:r>
        <w:t>Time spent in total external a</w:t>
      </w:r>
      <w:r>
        <w:t xml:space="preserve">ctivities cannot exceed the one day in seven </w:t>
      </w:r>
      <w:r>
        <w:t>limit</w:t>
      </w:r>
      <w:r>
        <w:t xml:space="preserve"> of the </w:t>
      </w:r>
    </w:p>
    <w:p w:rsidR="00930163" w14:paraId="7703FF55" w14:textId="77777777">
      <w:pPr>
        <w:spacing w:after="0"/>
        <w:ind w:left="2520" w:right="1" w:firstLine="0"/>
      </w:pPr>
      <w:r>
        <w:t>University (Yale University Faculty Handbook section XX.E.1); and</w:t>
      </w:r>
      <w:r>
        <w:rPr>
          <w:sz w:val="32"/>
        </w:rPr>
        <w:t xml:space="preserve"> </w:t>
      </w:r>
    </w:p>
    <w:p w:rsidR="00930163" w14:paraId="6F6767A5" w14:textId="77777777">
      <w:pPr>
        <w:numPr>
          <w:ilvl w:val="4"/>
          <w:numId w:val="10"/>
        </w:numPr>
        <w:spacing w:after="0"/>
        <w:ind w:right="1" w:hanging="360"/>
      </w:pPr>
      <w:r>
        <w:t>Clinical personnel consulting for industry must disclose the engagement as required under this policy and the Policy on Conflict o</w:t>
      </w:r>
      <w:r>
        <w:t xml:space="preserve">f Interest and Conflict of Commitment, </w:t>
      </w:r>
      <w:hyperlink r:id="rId13">
        <w:r>
          <w:rPr>
            <w:color w:val="0000FF"/>
            <w:u w:val="single" w:color="0000FF"/>
          </w:rPr>
          <w:t>https://your.yale.edu/research</w:t>
        </w:r>
      </w:hyperlink>
      <w:hyperlink r:id="rId14">
        <w:r>
          <w:rPr>
            <w:color w:val="0000FF"/>
            <w:u w:val="single" w:color="0000FF"/>
          </w:rPr>
          <w:t>-</w:t>
        </w:r>
      </w:hyperlink>
      <w:hyperlink r:id="rId15">
        <w:r>
          <w:rPr>
            <w:color w:val="0000FF"/>
            <w:u w:val="single" w:color="0000FF"/>
          </w:rPr>
          <w:t>support/conflict</w:t>
        </w:r>
      </w:hyperlink>
      <w:hyperlink r:id="rId16">
        <w:r>
          <w:rPr>
            <w:color w:val="0000FF"/>
            <w:u w:val="single" w:color="0000FF"/>
          </w:rPr>
          <w:t>-</w:t>
        </w:r>
      </w:hyperlink>
      <w:hyperlink r:id="rId17">
        <w:r>
          <w:rPr>
            <w:color w:val="0000FF"/>
            <w:u w:val="single" w:color="0000FF"/>
          </w:rPr>
          <w:t>interest/coi</w:t>
        </w:r>
      </w:hyperlink>
      <w:hyperlink r:id="rId18">
        <w:r>
          <w:rPr>
            <w:color w:val="0000FF"/>
            <w:u w:val="single" w:color="0000FF"/>
          </w:rPr>
          <w:t>-</w:t>
        </w:r>
      </w:hyperlink>
      <w:hyperlink r:id="rId19">
        <w:r>
          <w:rPr>
            <w:color w:val="0000FF"/>
            <w:u w:val="single" w:color="0000FF"/>
          </w:rPr>
          <w:t>policies</w:t>
        </w:r>
      </w:hyperlink>
      <w:hyperlink r:id="rId20">
        <w:r>
          <w:rPr>
            <w:color w:val="0000FF"/>
            <w:u w:val="single" w:color="0000FF"/>
          </w:rPr>
          <w:t>-</w:t>
        </w:r>
      </w:hyperlink>
      <w:hyperlink r:id="rId21">
        <w:r>
          <w:rPr>
            <w:color w:val="0000FF"/>
            <w:u w:val="single" w:color="0000FF"/>
          </w:rPr>
          <w:t>procedures</w:t>
        </w:r>
      </w:hyperlink>
      <w:hyperlink r:id="rId22">
        <w:r>
          <w:t>.</w:t>
        </w:r>
      </w:hyperlink>
      <w:r>
        <w:t xml:space="preserve">  </w:t>
      </w:r>
      <w:r>
        <w:rPr>
          <w:sz w:val="32"/>
        </w:rPr>
        <w:t xml:space="preserve"> </w:t>
      </w:r>
    </w:p>
    <w:p w:rsidR="00930163" w14:paraId="6D002A3D" w14:textId="77777777">
      <w:pPr>
        <w:numPr>
          <w:ilvl w:val="2"/>
          <w:numId w:val="1"/>
        </w:numPr>
        <w:spacing w:after="0"/>
        <w:ind w:right="1" w:hanging="360"/>
      </w:pPr>
      <w:r>
        <w:t>Consulting engagements involving compensation without commensurate time and effort are considered personal gifts and are prohibited under this policy.</w:t>
      </w:r>
      <w:r>
        <w:rPr>
          <w:sz w:val="32"/>
        </w:rPr>
        <w:t xml:space="preserve"> </w:t>
      </w:r>
    </w:p>
    <w:p w:rsidR="00930163" w14:paraId="3A614565" w14:textId="77777777">
      <w:pPr>
        <w:numPr>
          <w:ilvl w:val="2"/>
          <w:numId w:val="1"/>
        </w:numPr>
        <w:spacing w:after="0"/>
        <w:ind w:right="1" w:hanging="360"/>
      </w:pPr>
      <w:r>
        <w:t>Consulting may include working direct</w:t>
      </w:r>
      <w:r>
        <w:t>ly with a company to train other physicians in new surgical techniques involving novel devices, or in use of other medical devices (e.g., imaging equipment). In such settings industry-provided educational materials may be appropriate, the audience should b</w:t>
      </w:r>
      <w:r>
        <w:t>e comprised of physicians who have already purchased the equipment in question, and no CME credits should be attached.</w:t>
      </w:r>
      <w:r>
        <w:rPr>
          <w:sz w:val="32"/>
        </w:rPr>
        <w:t xml:space="preserve"> </w:t>
      </w:r>
    </w:p>
    <w:p w:rsidR="00930163" w14:paraId="40B00870" w14:textId="77777777">
      <w:pPr>
        <w:spacing w:after="28" w:line="259" w:lineRule="auto"/>
        <w:ind w:left="0" w:firstLine="0"/>
      </w:pPr>
      <w:r>
        <w:rPr>
          <w:sz w:val="32"/>
        </w:rPr>
        <w:t xml:space="preserve"> </w:t>
      </w:r>
    </w:p>
    <w:p w:rsidR="00930163" w14:paraId="3C4074DF" w14:textId="77777777">
      <w:pPr>
        <w:spacing w:after="0" w:line="259" w:lineRule="auto"/>
        <w:ind w:left="1440" w:firstLine="0"/>
      </w:pPr>
      <w:r>
        <w:rPr>
          <w:sz w:val="32"/>
        </w:rPr>
        <w:t xml:space="preserve"> </w:t>
      </w:r>
    </w:p>
    <w:p w:rsidR="00930163" w14:paraId="0FD07418" w14:textId="77777777">
      <w:pPr>
        <w:numPr>
          <w:ilvl w:val="0"/>
          <w:numId w:val="1"/>
        </w:numPr>
        <w:ind w:right="1" w:hanging="360"/>
      </w:pPr>
      <w:r>
        <w:t xml:space="preserve">Drug Samples </w:t>
      </w:r>
    </w:p>
    <w:p w:rsidR="00930163" w14:paraId="4B027178" w14:textId="77777777">
      <w:pPr>
        <w:ind w:left="1810" w:right="1"/>
      </w:pPr>
      <w:r>
        <w:t>1.</w:t>
      </w:r>
      <w:r>
        <w:rPr>
          <w:rFonts w:ascii="Arial" w:eastAsia="Arial" w:hAnsi="Arial" w:cs="Arial"/>
        </w:rPr>
        <w:t xml:space="preserve"> </w:t>
      </w:r>
      <w:r>
        <w:t>Clinical personnel may only accept free drugs from industry for distribution to patients, particularly those who la</w:t>
      </w:r>
      <w:r>
        <w:t xml:space="preserve">ck financial access to the medications, with the following limitations: </w:t>
      </w:r>
    </w:p>
    <w:p w:rsidR="00930163" w14:paraId="37C7DDA3" w14:textId="77777777">
      <w:pPr>
        <w:numPr>
          <w:ilvl w:val="4"/>
          <w:numId w:val="16"/>
        </w:numPr>
        <w:ind w:right="1" w:hanging="360"/>
      </w:pPr>
      <w:r>
        <w:t xml:space="preserve">Clinical personnel should be cautious in distributing medications that are not on formulary since distribution of non-formulary drugs to patients may encourage use of costlier </w:t>
      </w:r>
      <w:r>
        <w:t>medicat</w:t>
      </w:r>
      <w:r>
        <w:t>ions;</w:t>
      </w:r>
      <w:r>
        <w:t xml:space="preserve"> </w:t>
      </w:r>
    </w:p>
    <w:p w:rsidR="00930163" w14:paraId="098E9647" w14:textId="77777777">
      <w:pPr>
        <w:numPr>
          <w:ilvl w:val="4"/>
          <w:numId w:val="16"/>
        </w:numPr>
        <w:ind w:right="1" w:hanging="360"/>
      </w:pPr>
      <w:r>
        <w:t xml:space="preserve">Free drug samples many never be sold; and </w:t>
      </w:r>
    </w:p>
    <w:p w:rsidR="00930163" w14:paraId="3E27D006" w14:textId="77777777">
      <w:pPr>
        <w:numPr>
          <w:ilvl w:val="4"/>
          <w:numId w:val="16"/>
        </w:numPr>
        <w:spacing w:after="7"/>
        <w:ind w:right="1" w:hanging="360"/>
      </w:pPr>
      <w:r>
        <w:t xml:space="preserve">Free drug samples may never be used by clinical personnel for themselves or family members, except when prescribed and/or dispensed by a physician. </w:t>
      </w:r>
    </w:p>
    <w:p w:rsidR="00930163" w14:paraId="186452CB" w14:textId="77777777">
      <w:pPr>
        <w:spacing w:after="0" w:line="259" w:lineRule="auto"/>
        <w:ind w:left="2520" w:firstLine="0"/>
      </w:pPr>
      <w:r>
        <w:t xml:space="preserve"> </w:t>
      </w:r>
    </w:p>
    <w:p w:rsidR="00930163" w14:paraId="5BC8FCB4" w14:textId="77777777">
      <w:pPr>
        <w:numPr>
          <w:ilvl w:val="0"/>
          <w:numId w:val="1"/>
        </w:numPr>
        <w:ind w:right="1" w:hanging="360"/>
      </w:pPr>
      <w:r>
        <w:t xml:space="preserve">Site Access by Industry Representatives </w:t>
      </w:r>
    </w:p>
    <w:p w:rsidR="00930163" w14:paraId="48935FC1" w14:textId="77777777">
      <w:pPr>
        <w:numPr>
          <w:ilvl w:val="1"/>
          <w:numId w:val="1"/>
        </w:numPr>
        <w:ind w:right="1" w:hanging="360"/>
      </w:pPr>
      <w:r>
        <w:t xml:space="preserve">Industry representatives are permitted in non-patient care areas by appointment only. Appointments will be permitted only on the invitation of Clinical Personnel. </w:t>
      </w:r>
    </w:p>
    <w:p w:rsidR="00930163" w14:paraId="58CD4B33" w14:textId="77777777">
      <w:pPr>
        <w:numPr>
          <w:ilvl w:val="1"/>
          <w:numId w:val="1"/>
        </w:numPr>
        <w:ind w:right="1" w:hanging="360"/>
      </w:pPr>
      <w:r>
        <w:t>Industry representatives are strictly prohibited fr</w:t>
      </w:r>
      <w:r>
        <w:t xml:space="preserve">om entering direct patient care areas except in the limited circumstances described below: </w:t>
      </w:r>
    </w:p>
    <w:p w:rsidR="00930163" w14:paraId="56CAC66E" w14:textId="77777777">
      <w:pPr>
        <w:numPr>
          <w:ilvl w:val="4"/>
          <w:numId w:val="17"/>
        </w:numPr>
        <w:ind w:right="1" w:hanging="360"/>
      </w:pPr>
      <w:r>
        <w:t xml:space="preserve">The purpose of the industry representative’s presence must be to provide in-service training or assistance to Clinical Personnel on devices or </w:t>
      </w:r>
      <w:r>
        <w:t>equipment;</w:t>
      </w:r>
      <w:r>
        <w:t xml:space="preserve"> </w:t>
      </w:r>
    </w:p>
    <w:p w:rsidR="00930163" w14:paraId="3C2B612C" w14:textId="77777777">
      <w:pPr>
        <w:numPr>
          <w:ilvl w:val="4"/>
          <w:numId w:val="17"/>
        </w:numPr>
        <w:spacing w:after="57" w:line="259" w:lineRule="auto"/>
        <w:ind w:right="1" w:hanging="360"/>
      </w:pPr>
      <w:r>
        <w:t xml:space="preserve">Clinical </w:t>
      </w:r>
      <w:r>
        <w:t xml:space="preserve">Personnel must </w:t>
      </w:r>
      <w:r>
        <w:t>be present at all times</w:t>
      </w:r>
      <w:r>
        <w:t xml:space="preserve"> during the patient care interaction; and </w:t>
      </w:r>
    </w:p>
    <w:p w:rsidR="00930163" w14:paraId="673BAE72" w14:textId="77777777">
      <w:pPr>
        <w:numPr>
          <w:ilvl w:val="4"/>
          <w:numId w:val="17"/>
        </w:numPr>
        <w:ind w:right="1" w:hanging="360"/>
      </w:pPr>
      <w:r>
        <w:t xml:space="preserve">Disclosure </w:t>
      </w:r>
      <w:r>
        <w:t xml:space="preserve">must be provided to the patient (or to his/her family) that industry representative(s) may be present in the procedure area. </w:t>
      </w:r>
    </w:p>
    <w:p w:rsidR="00930163" w14:paraId="77A046F8" w14:textId="77777777">
      <w:pPr>
        <w:numPr>
          <w:ilvl w:val="1"/>
          <w:numId w:val="1"/>
        </w:numPr>
        <w:spacing w:after="6"/>
        <w:ind w:right="1" w:hanging="360"/>
      </w:pPr>
      <w:r>
        <w:t>For the purpose of</w:t>
      </w:r>
      <w:r>
        <w:t xml:space="preserve"> this Policy, in-service training and interactions with industry to evaluate devices or equipment are not consid</w:t>
      </w:r>
      <w:r>
        <w:t xml:space="preserve">ered “Industry sponsored educational programs” and are not subject to the requirements pertaining to education found in sections I and H.  </w:t>
      </w:r>
    </w:p>
    <w:p w:rsidR="00930163" w14:paraId="5ACF8616" w14:textId="77777777">
      <w:pPr>
        <w:spacing w:after="58" w:line="259" w:lineRule="auto"/>
        <w:ind w:left="1440" w:firstLine="0"/>
      </w:pPr>
      <w:r>
        <w:t xml:space="preserve"> </w:t>
      </w:r>
    </w:p>
    <w:p w:rsidR="00930163" w14:paraId="6657ECB5" w14:textId="77777777">
      <w:pPr>
        <w:numPr>
          <w:ilvl w:val="0"/>
          <w:numId w:val="1"/>
        </w:numPr>
        <w:ind w:right="1" w:hanging="360"/>
      </w:pPr>
      <w:r>
        <w:t xml:space="preserve">Accredited Continuing Education </w:t>
      </w:r>
    </w:p>
    <w:p w:rsidR="00930163" w14:paraId="5620B91D" w14:textId="77777777">
      <w:pPr>
        <w:ind w:left="1810" w:right="1"/>
      </w:pPr>
      <w:r>
        <w:t>1.</w:t>
      </w:r>
      <w:r>
        <w:rPr>
          <w:rFonts w:ascii="Arial" w:eastAsia="Arial" w:hAnsi="Arial" w:cs="Arial"/>
        </w:rPr>
        <w:t xml:space="preserve"> </w:t>
      </w:r>
      <w:r>
        <w:t>All accredited continuing education activities on and off the Yale campus must</w:t>
      </w:r>
      <w:r>
        <w:t xml:space="preserve"> be compliant with the Accreditation Council for Continuing Medical Education (ACCME) Standards for Integrity and Independence in Accredited Continuing Education.  The following is a summary of selected ACCME Standards (last revised in December 2020). The </w:t>
      </w:r>
      <w:r>
        <w:t xml:space="preserve">full text of the Standards is available at </w:t>
      </w:r>
      <w:hyperlink r:id="rId23">
        <w:r>
          <w:rPr>
            <w:color w:val="0000FF"/>
            <w:u w:val="single" w:color="0000FF"/>
          </w:rPr>
          <w:t>http://www.accme.org</w:t>
        </w:r>
      </w:hyperlink>
      <w:hyperlink r:id="rId24">
        <w:r>
          <w:rPr>
            <w:color w:val="0000FF"/>
            <w:u w:val="single" w:color="0000FF"/>
          </w:rPr>
          <w:t>/</w:t>
        </w:r>
      </w:hyperlink>
      <w:hyperlink r:id="rId25">
        <w:r>
          <w:t>.</w:t>
        </w:r>
      </w:hyperlink>
      <w:r>
        <w:t xml:space="preserve">  </w:t>
      </w:r>
    </w:p>
    <w:p w:rsidR="00930163" w14:paraId="406A73D0" w14:textId="77777777">
      <w:pPr>
        <w:numPr>
          <w:ilvl w:val="5"/>
          <w:numId w:val="15"/>
        </w:numPr>
        <w:ind w:right="1" w:hanging="360"/>
      </w:pPr>
      <w:r>
        <w:t>All recommendations for patient care in accredited continuing education must be based on current science, evidence, and clinical reasoning, wh</w:t>
      </w:r>
      <w:r>
        <w:t>ile giving a fair and balanced view of diagnostic and therapeutic options (ACCME Standard 1.1</w:t>
      </w:r>
      <w:r>
        <w:t>);</w:t>
      </w:r>
      <w:r>
        <w:t xml:space="preserve"> </w:t>
      </w:r>
    </w:p>
    <w:p w:rsidR="00930163" w14:paraId="4EE9CA14" w14:textId="77777777">
      <w:pPr>
        <w:numPr>
          <w:ilvl w:val="5"/>
          <w:numId w:val="15"/>
        </w:numPr>
        <w:spacing w:after="6"/>
        <w:ind w:right="1" w:hanging="360"/>
      </w:pPr>
      <w:r>
        <w:t>Accredited education must be free of marketing or sales of products or services. Faculty must not actively promote or sell products or services that serve thei</w:t>
      </w:r>
      <w:r>
        <w:t xml:space="preserve">r professional or financial interests during accredited education (ACCME Standard </w:t>
      </w:r>
    </w:p>
    <w:p w:rsidR="00930163" w14:paraId="79FA4118" w14:textId="77777777">
      <w:pPr>
        <w:ind w:left="2880" w:right="1" w:firstLine="0"/>
      </w:pPr>
      <w:r>
        <w:t>2.2</w:t>
      </w:r>
      <w:r>
        <w:t>);</w:t>
      </w:r>
      <w:r>
        <w:t xml:space="preserve"> </w:t>
      </w:r>
    </w:p>
    <w:p w:rsidR="00930163" w14:paraId="10A04223" w14:textId="77777777">
      <w:pPr>
        <w:numPr>
          <w:ilvl w:val="5"/>
          <w:numId w:val="7"/>
        </w:numPr>
        <w:spacing w:after="5"/>
        <w:ind w:right="1" w:hanging="360"/>
      </w:pPr>
      <w:r>
        <w:t xml:space="preserve">All planners, faculty, and others in control of educational content must disclose (regardless of their view of the relevance of the relationship to the education) </w:t>
      </w:r>
      <w:r>
        <w:rPr>
          <w:b/>
        </w:rPr>
        <w:t>all</w:t>
      </w:r>
      <w:r>
        <w:t xml:space="preserve"> </w:t>
      </w:r>
      <w:r>
        <w:t>of</w:t>
      </w:r>
      <w:r>
        <w:t xml:space="preserve"> their financial relationships with ineligible companies* within the prior </w:t>
      </w:r>
      <w:r>
        <w:rPr>
          <w:b/>
        </w:rPr>
        <w:t>24</w:t>
      </w:r>
      <w:r>
        <w:t xml:space="preserve"> months. There is no minimum threshold; individuals must disclose all financial relationships, regardless of the amount, with ineligible companies (ACCME Standard 3.1</w:t>
      </w:r>
      <w:r>
        <w:t>);</w:t>
      </w:r>
      <w:r>
        <w:t xml:space="preserve"> </w:t>
      </w:r>
    </w:p>
    <w:p w:rsidR="00930163" w14:paraId="6F15FB79" w14:textId="77777777">
      <w:pPr>
        <w:spacing w:after="73" w:line="277" w:lineRule="auto"/>
        <w:ind w:left="2880" w:firstLine="0"/>
      </w:pPr>
      <w:r>
        <w:rPr>
          <w:sz w:val="20"/>
        </w:rPr>
        <w:t>(*</w:t>
      </w:r>
      <w:r>
        <w:rPr>
          <w:i/>
          <w:sz w:val="20"/>
        </w:rPr>
        <w:t>inel</w:t>
      </w:r>
      <w:r>
        <w:rPr>
          <w:i/>
          <w:sz w:val="20"/>
        </w:rPr>
        <w:t xml:space="preserve">igible companies are those whose primary business is producing, marketing, selling, re-selling, or distributing healthcare products used by or on patients. Examples can be found at http://www.accme.org) </w:t>
      </w:r>
    </w:p>
    <w:p w:rsidR="00930163" w14:paraId="395D4B17" w14:textId="77777777">
      <w:pPr>
        <w:numPr>
          <w:ilvl w:val="5"/>
          <w:numId w:val="7"/>
        </w:numPr>
        <w:ind w:right="1" w:hanging="360"/>
      </w:pPr>
      <w:r>
        <w:t>All disclosed financial relationships will be review</w:t>
      </w:r>
      <w:r>
        <w:t>ed to determine relevancy and appropriate steps will be taken to mitigate said relationships prior to the individuals assuming their roles (i.e., faculty, planner, etc.) (ACCME Standard 4</w:t>
      </w:r>
      <w:r>
        <w:t>);</w:t>
      </w:r>
      <w:r>
        <w:t xml:space="preserve"> </w:t>
      </w:r>
    </w:p>
    <w:p w:rsidR="00930163" w14:paraId="4B168E31" w14:textId="77777777">
      <w:pPr>
        <w:numPr>
          <w:ilvl w:val="5"/>
          <w:numId w:val="7"/>
        </w:numPr>
        <w:ind w:right="1" w:hanging="360"/>
      </w:pPr>
      <w:r>
        <w:t xml:space="preserve">Learners must receive disclosure information, in writing, before </w:t>
      </w:r>
      <w:r>
        <w:t>engaging with the accredited education (ACCME Standard 3.5</w:t>
      </w:r>
      <w:r>
        <w:t>);</w:t>
      </w:r>
      <w:r>
        <w:t xml:space="preserve"> </w:t>
      </w:r>
    </w:p>
    <w:p w:rsidR="00930163" w14:paraId="3B59C9AA" w14:textId="77777777">
      <w:pPr>
        <w:numPr>
          <w:ilvl w:val="5"/>
          <w:numId w:val="7"/>
        </w:numPr>
        <w:spacing w:after="34" w:line="279" w:lineRule="auto"/>
        <w:ind w:right="1" w:hanging="360"/>
      </w:pPr>
      <w:r>
        <w:t xml:space="preserve">Print, online, or digital continuing education activities: Learners must not be presented with marketing while engaged in the accredited education activity. Learners must be able to engage with </w:t>
      </w:r>
      <w:r>
        <w:t>the accredited education without having to click through, watch, listen to, or be presented with product promotion or product-specific advertisement (ACCME Standard 5.2.b); Educational materials that are part of accredited education (such as slides, abstra</w:t>
      </w:r>
      <w:r>
        <w:t>cts, handouts, evaluation mechanisms, or disclosure information) must not contain any marketing produced by or for an ineligible company, including corporate or product logos, trade names, or product group messages (ACCME Standard 5.2.c);  g.</w:t>
      </w:r>
      <w:r>
        <w:rPr>
          <w:rFonts w:ascii="Arial" w:eastAsia="Arial" w:hAnsi="Arial" w:cs="Arial"/>
        </w:rPr>
        <w:t xml:space="preserve"> </w:t>
      </w:r>
      <w:r>
        <w:t xml:space="preserve">.   </w:t>
      </w:r>
    </w:p>
    <w:p w:rsidR="00930163" w14:paraId="7E9A4CC1" w14:textId="77777777">
      <w:pPr>
        <w:ind w:left="1450" w:right="1"/>
      </w:pPr>
      <w:r>
        <w:t>2.</w:t>
      </w:r>
      <w:r>
        <w:rPr>
          <w:rFonts w:ascii="Arial" w:eastAsia="Arial" w:hAnsi="Arial" w:cs="Arial"/>
        </w:rPr>
        <w:t xml:space="preserve"> </w:t>
      </w:r>
      <w:r>
        <w:t>In ad</w:t>
      </w:r>
      <w:r>
        <w:t xml:space="preserve">dition to the </w:t>
      </w:r>
      <w:r>
        <w:t>aforementioned ACCME</w:t>
      </w:r>
      <w:r>
        <w:t xml:space="preserve"> Standards, industry-sponsored CME events on and off the YSM campus must also comply with the following provisions: </w:t>
      </w:r>
    </w:p>
    <w:p w:rsidR="00930163" w14:paraId="007F8BB1" w14:textId="77777777">
      <w:pPr>
        <w:numPr>
          <w:ilvl w:val="4"/>
          <w:numId w:val="4"/>
        </w:numPr>
        <w:ind w:right="1" w:hanging="360"/>
      </w:pPr>
      <w:r>
        <w:t xml:space="preserve">Gifts or compensation may not be provided solely for attendance at the meeting or lecture; and </w:t>
      </w:r>
    </w:p>
    <w:p w:rsidR="00930163" w14:paraId="381EB747" w14:textId="77777777">
      <w:pPr>
        <w:numPr>
          <w:ilvl w:val="4"/>
          <w:numId w:val="4"/>
        </w:numPr>
        <w:ind w:right="1" w:hanging="360"/>
      </w:pPr>
      <w:r>
        <w:t xml:space="preserve">Industry </w:t>
      </w:r>
      <w:r>
        <w:t xml:space="preserve">funds to support the specific educational activity must be given directly to the University/department/section in accordance with </w:t>
      </w:r>
      <w:r>
        <w:t>University</w:t>
      </w:r>
      <w:r>
        <w:t xml:space="preserve"> policy and may not be provided directly to Clinical Personnel. </w:t>
      </w:r>
    </w:p>
    <w:p w:rsidR="00930163" w14:paraId="0D69FE8E" w14:textId="77777777">
      <w:pPr>
        <w:spacing w:after="5"/>
        <w:ind w:left="1450" w:right="1"/>
      </w:pPr>
      <w:r>
        <w:t>3.</w:t>
      </w:r>
      <w:r>
        <w:rPr>
          <w:rFonts w:ascii="Arial" w:eastAsia="Arial" w:hAnsi="Arial" w:cs="Arial"/>
        </w:rPr>
        <w:t xml:space="preserve"> </w:t>
      </w:r>
      <w:r>
        <w:t xml:space="preserve">The YSM Center for Continuing Medical Education </w:t>
      </w:r>
      <w:r>
        <w:t xml:space="preserve">(Yale CME) is the exclusive provider of on campus accredited continuing professional development for Clinical Personnel. </w:t>
      </w:r>
    </w:p>
    <w:p w:rsidR="00930163" w14:paraId="365751C6" w14:textId="77777777">
      <w:pPr>
        <w:spacing w:after="59" w:line="259" w:lineRule="auto"/>
        <w:ind w:left="1440" w:firstLine="0"/>
      </w:pPr>
      <w:r>
        <w:t xml:space="preserve"> </w:t>
      </w:r>
    </w:p>
    <w:p w:rsidR="00930163" w14:paraId="4EE8D7A5" w14:textId="77777777">
      <w:pPr>
        <w:numPr>
          <w:ilvl w:val="0"/>
          <w:numId w:val="1"/>
        </w:numPr>
        <w:ind w:right="1" w:hanging="360"/>
      </w:pPr>
      <w:r>
        <w:t xml:space="preserve">Industry-sponsored Education Programs  </w:t>
      </w:r>
    </w:p>
    <w:p w:rsidR="00930163" w14:paraId="55A5B00E" w14:textId="77777777">
      <w:pPr>
        <w:numPr>
          <w:ilvl w:val="1"/>
          <w:numId w:val="1"/>
        </w:numPr>
        <w:ind w:right="1" w:hanging="360"/>
      </w:pPr>
      <w:r>
        <w:t>The position of Yale Medicine is in keeping with that of the AAMC (Association of A</w:t>
      </w:r>
      <w:r>
        <w:t>merican Medical Colleges): participation by faculty in industry-sponsored speaker’s bureaus is prohibited.</w:t>
      </w:r>
      <w:r>
        <w:rPr>
          <w:rFonts w:ascii="Times New Roman" w:eastAsia="Times New Roman" w:hAnsi="Times New Roman" w:cs="Times New Roman"/>
          <w:sz w:val="28"/>
        </w:rPr>
        <w:t xml:space="preserve"> </w:t>
      </w:r>
    </w:p>
    <w:p w:rsidR="00930163" w14:paraId="505FDE21" w14:textId="77777777">
      <w:pPr>
        <w:ind w:left="1440" w:right="1" w:firstLine="0"/>
      </w:pPr>
      <w:r>
        <w:t xml:space="preserve">Yale Medicine faculty are not permitted to participate in the following activities: </w:t>
      </w:r>
    </w:p>
    <w:p w:rsidR="00930163" w14:paraId="08D9780D" w14:textId="77777777">
      <w:pPr>
        <w:numPr>
          <w:ilvl w:val="3"/>
          <w:numId w:val="9"/>
        </w:numPr>
        <w:ind w:right="1" w:hanging="360"/>
      </w:pPr>
      <w:r>
        <w:t xml:space="preserve">Industry-sponsored “speaker bureaus” (i.e., contractual relationships to give talks) in which the topic(s) are determined and/or the content is provided by the company </w:t>
      </w:r>
    </w:p>
    <w:p w:rsidR="00930163" w14:paraId="19DF38F5" w14:textId="77777777">
      <w:pPr>
        <w:numPr>
          <w:ilvl w:val="3"/>
          <w:numId w:val="9"/>
        </w:numPr>
        <w:ind w:right="1" w:hanging="360"/>
      </w:pPr>
      <w:r>
        <w:t>Dedicated marketing and training programs designed solely or predominately for sales or</w:t>
      </w:r>
      <w:r>
        <w:t xml:space="preserve"> marketing purposes to other clinicians </w:t>
      </w:r>
    </w:p>
    <w:p w:rsidR="00930163" w14:paraId="2398C541" w14:textId="77777777">
      <w:pPr>
        <w:numPr>
          <w:ilvl w:val="1"/>
          <w:numId w:val="1"/>
        </w:numPr>
        <w:ind w:right="1" w:hanging="360"/>
      </w:pPr>
      <w:r>
        <w:t>Clinical Personnel Participation in Educational Programs (Organizer, Author, Speaker):  Clinical Personnel may actively participate (</w:t>
      </w:r>
      <w:r>
        <w:t>e.g.</w:t>
      </w:r>
      <w:r>
        <w:t xml:space="preserve"> by giving a lecture, organizing the meeting) in </w:t>
      </w:r>
      <w:r>
        <w:t>industrysponsored</w:t>
      </w:r>
      <w:r>
        <w:t xml:space="preserve"> educational</w:t>
      </w:r>
      <w:r>
        <w:t xml:space="preserve"> meetings, training programs or lectures only if all of the following requirements are met: </w:t>
      </w:r>
    </w:p>
    <w:p w:rsidR="00930163" w14:paraId="36D41592" w14:textId="77777777">
      <w:pPr>
        <w:numPr>
          <w:ilvl w:val="4"/>
          <w:numId w:val="8"/>
        </w:numPr>
        <w:ind w:right="1" w:hanging="360"/>
      </w:pPr>
      <w:r>
        <w:t xml:space="preserve">Financial support by industry must be fully disclosed at the meeting by the </w:t>
      </w:r>
      <w:r>
        <w:t>sponsor;</w:t>
      </w:r>
      <w:r>
        <w:t xml:space="preserve"> </w:t>
      </w:r>
    </w:p>
    <w:p w:rsidR="00930163" w14:paraId="014C5C68" w14:textId="77777777">
      <w:pPr>
        <w:numPr>
          <w:ilvl w:val="4"/>
          <w:numId w:val="8"/>
        </w:numPr>
        <w:ind w:right="1" w:hanging="360"/>
      </w:pPr>
      <w:r>
        <w:t>The participating Clinical Personnel must have full control and authority ove</w:t>
      </w:r>
      <w:r>
        <w:t xml:space="preserve">r the meeting or lecture’s topic and content. Slides and written materials, must be determined solely by the participating Clinical Personnel with no influence from or requirement for prior approval by the </w:t>
      </w:r>
      <w:r>
        <w:t>sponsor;</w:t>
      </w:r>
      <w:r>
        <w:t xml:space="preserve"> </w:t>
      </w:r>
    </w:p>
    <w:p w:rsidR="00930163" w14:paraId="6981B781" w14:textId="77777777">
      <w:pPr>
        <w:numPr>
          <w:ilvl w:val="4"/>
          <w:numId w:val="8"/>
        </w:numPr>
        <w:ind w:right="1" w:hanging="360"/>
      </w:pPr>
      <w:r>
        <w:t>The lecturer must promote objective scie</w:t>
      </w:r>
      <w:r>
        <w:t xml:space="preserve">ntific and educational activities and </w:t>
      </w:r>
      <w:r>
        <w:t>discourse;</w:t>
      </w:r>
      <w:r>
        <w:t xml:space="preserve"> </w:t>
      </w:r>
    </w:p>
    <w:p w:rsidR="00930163" w14:paraId="3069B2C5" w14:textId="77777777">
      <w:pPr>
        <w:numPr>
          <w:ilvl w:val="4"/>
          <w:numId w:val="8"/>
        </w:numPr>
        <w:ind w:right="1" w:hanging="360"/>
      </w:pPr>
      <w:r>
        <w:t>Clinical Personnel must not be required by the industry sponsor to accept advice or services concerning teachers, authors, or other educational matters including content as a condition of the sponsor’s cont</w:t>
      </w:r>
      <w:r>
        <w:t xml:space="preserve">ribution of funds or </w:t>
      </w:r>
      <w:r>
        <w:t>services;</w:t>
      </w:r>
      <w:r>
        <w:t xml:space="preserve"> </w:t>
      </w:r>
    </w:p>
    <w:p w:rsidR="00930163" w14:paraId="61FC0BE0" w14:textId="77777777">
      <w:pPr>
        <w:numPr>
          <w:ilvl w:val="4"/>
          <w:numId w:val="8"/>
        </w:numPr>
        <w:ind w:right="1" w:hanging="360"/>
      </w:pPr>
      <w:r>
        <w:t>If Clinical Personnel are organizing the meeting, then they must ensure that attendees in the audience are not compensated or otherwise materially rewarded for attendance (e.g., through payment of travel expenses, or provisi</w:t>
      </w:r>
      <w:r>
        <w:t>on of food or gifts</w:t>
      </w:r>
      <w:r>
        <w:t>);</w:t>
      </w:r>
      <w:r>
        <w:t xml:space="preserve"> </w:t>
      </w:r>
    </w:p>
    <w:p w:rsidR="00930163" w14:paraId="1D608830" w14:textId="77777777">
      <w:pPr>
        <w:numPr>
          <w:ilvl w:val="4"/>
          <w:numId w:val="8"/>
        </w:numPr>
        <w:ind w:right="1" w:hanging="360"/>
      </w:pPr>
      <w:r>
        <w:t>The engagement must be governed by a written agreement or memorandum specifying the service(s) to be provided. The written agreement or memorandum may not include a clause that allows the sponsor to dictate what the Clinical Personne</w:t>
      </w:r>
      <w:r>
        <w:t xml:space="preserve">l says. Compensation must be limited to reimbursement of reasonable and necessary travel expenses as described in Section J of this Policy, and an appropriate </w:t>
      </w:r>
      <w:r>
        <w:t>honorarium;</w:t>
      </w:r>
      <w:r>
        <w:t xml:space="preserve"> </w:t>
      </w:r>
    </w:p>
    <w:p w:rsidR="00930163" w14:paraId="1B555DED" w14:textId="77777777">
      <w:pPr>
        <w:numPr>
          <w:ilvl w:val="4"/>
          <w:numId w:val="8"/>
        </w:numPr>
        <w:spacing w:after="8"/>
        <w:ind w:right="1" w:hanging="360"/>
      </w:pPr>
      <w:r>
        <w:t xml:space="preserve">The lecturer must explicitly describe </w:t>
      </w:r>
      <w:r>
        <w:t>all of</w:t>
      </w:r>
      <w:r>
        <w:t xml:space="preserve"> his or her relevant financial interests</w:t>
      </w:r>
      <w:r>
        <w:t xml:space="preserve"> </w:t>
      </w:r>
    </w:p>
    <w:p w:rsidR="00930163" w14:paraId="35010153" w14:textId="77777777">
      <w:pPr>
        <w:ind w:left="2520" w:right="1" w:firstLine="0"/>
      </w:pPr>
      <w:r>
        <w:t>(</w:t>
      </w:r>
      <w:r>
        <w:t>recent</w:t>
      </w:r>
      <w:r>
        <w:t xml:space="preserve">, existing, or planned) to the audience prior to the lecture; and </w:t>
      </w:r>
    </w:p>
    <w:p w:rsidR="00930163" w14:paraId="029C97C9" w14:textId="77777777">
      <w:pPr>
        <w:numPr>
          <w:ilvl w:val="4"/>
          <w:numId w:val="8"/>
        </w:numPr>
        <w:ind w:right="1" w:hanging="360"/>
      </w:pPr>
      <w:r>
        <w:t>Clinical Personnel actively participating in industry-sponsored meetings or lectures must disclose the engagements and total annual compensation as required under the University Po</w:t>
      </w:r>
      <w:r>
        <w:t xml:space="preserve">licy on Conflict of Interest and Conflict of Commitment, </w:t>
      </w:r>
      <w:hyperlink r:id="rId26">
        <w:r>
          <w:rPr>
            <w:color w:val="0000FF"/>
            <w:u w:val="single" w:color="0000FF"/>
          </w:rPr>
          <w:t>https://your.yale.edu/research</w:t>
        </w:r>
      </w:hyperlink>
      <w:hyperlink r:id="rId27">
        <w:r>
          <w:rPr>
            <w:color w:val="0000FF"/>
            <w:u w:val="single" w:color="0000FF"/>
          </w:rPr>
          <w:t>-</w:t>
        </w:r>
      </w:hyperlink>
      <w:hyperlink r:id="rId28">
        <w:r>
          <w:rPr>
            <w:color w:val="0000FF"/>
            <w:u w:val="single" w:color="0000FF"/>
          </w:rPr>
          <w:t>support/conflict</w:t>
        </w:r>
      </w:hyperlink>
      <w:hyperlink r:id="rId29">
        <w:r>
          <w:rPr>
            <w:color w:val="0000FF"/>
            <w:u w:val="single" w:color="0000FF"/>
          </w:rPr>
          <w:t>-</w:t>
        </w:r>
      </w:hyperlink>
      <w:hyperlink r:id="rId30">
        <w:r>
          <w:rPr>
            <w:color w:val="0000FF"/>
            <w:u w:val="single" w:color="0000FF"/>
          </w:rPr>
          <w:t>interest/coi</w:t>
        </w:r>
      </w:hyperlink>
      <w:hyperlink r:id="rId31">
        <w:r>
          <w:rPr>
            <w:color w:val="0000FF"/>
            <w:u w:val="single" w:color="0000FF"/>
          </w:rPr>
          <w:t>-</w:t>
        </w:r>
      </w:hyperlink>
      <w:hyperlink r:id="rId32">
        <w:r>
          <w:rPr>
            <w:color w:val="0000FF"/>
            <w:u w:val="single" w:color="0000FF"/>
          </w:rPr>
          <w:t>policie</w:t>
        </w:r>
        <w:r>
          <w:rPr>
            <w:color w:val="0000FF"/>
            <w:u w:val="single" w:color="0000FF"/>
          </w:rPr>
          <w:t>s</w:t>
        </w:r>
      </w:hyperlink>
      <w:hyperlink r:id="rId33">
        <w:r>
          <w:rPr>
            <w:color w:val="0000FF"/>
            <w:u w:val="single" w:color="0000FF"/>
          </w:rPr>
          <w:t>-</w:t>
        </w:r>
      </w:hyperlink>
      <w:hyperlink r:id="rId34">
        <w:r>
          <w:rPr>
            <w:color w:val="0000FF"/>
            <w:u w:val="single" w:color="0000FF"/>
          </w:rPr>
          <w:t>procedures</w:t>
        </w:r>
      </w:hyperlink>
      <w:hyperlink r:id="rId35">
        <w:r>
          <w:t>.</w:t>
        </w:r>
      </w:hyperlink>
      <w:r>
        <w:t xml:space="preserve">  3.</w:t>
      </w:r>
      <w:r>
        <w:rPr>
          <w:rFonts w:ascii="Arial" w:eastAsia="Arial" w:hAnsi="Arial" w:cs="Arial"/>
        </w:rPr>
        <w:t xml:space="preserve"> </w:t>
      </w:r>
      <w:r>
        <w:t xml:space="preserve">Clinical Personnel Attendance in Educational Programs: Clinical Personnel may attend </w:t>
      </w:r>
      <w:r>
        <w:t>industrysponsored</w:t>
      </w:r>
      <w:r>
        <w:t xml:space="preserve"> programs only if </w:t>
      </w:r>
      <w:r>
        <w:t>all of</w:t>
      </w:r>
      <w:r>
        <w:t xml:space="preserve"> following requirements are met: </w:t>
      </w:r>
    </w:p>
    <w:p w:rsidR="00930163" w14:paraId="4C77AA33" w14:textId="77777777">
      <w:pPr>
        <w:numPr>
          <w:ilvl w:val="4"/>
          <w:numId w:val="3"/>
        </w:numPr>
        <w:ind w:right="1" w:hanging="360"/>
      </w:pPr>
      <w:r>
        <w:t xml:space="preserve">The program must be primarily educational and designed to provide evidence-based medical or scientific information or to promote evidence-based clinical care and/or to advance scientific </w:t>
      </w:r>
      <w:r>
        <w:t>research;</w:t>
      </w:r>
      <w:r>
        <w:t xml:space="preserve"> </w:t>
      </w:r>
    </w:p>
    <w:p w:rsidR="00930163" w14:paraId="25C93881" w14:textId="77777777">
      <w:pPr>
        <w:numPr>
          <w:ilvl w:val="4"/>
          <w:numId w:val="3"/>
        </w:numPr>
        <w:ind w:right="1" w:hanging="360"/>
      </w:pPr>
      <w:r>
        <w:t>The industry sponsor may not reimburse the travel expenses</w:t>
      </w:r>
      <w:r>
        <w:t xml:space="preserve"> of attendees; and </w:t>
      </w:r>
    </w:p>
    <w:p w:rsidR="00930163" w14:paraId="33896C67" w14:textId="77777777">
      <w:pPr>
        <w:numPr>
          <w:ilvl w:val="4"/>
          <w:numId w:val="3"/>
        </w:numPr>
        <w:ind w:right="1" w:hanging="360"/>
      </w:pPr>
      <w:r>
        <w:t xml:space="preserve">Attendees may not receive gifts, </w:t>
      </w:r>
      <w:r>
        <w:t>food</w:t>
      </w:r>
      <w:r>
        <w:t xml:space="preserve"> or other compensation for attendance. </w:t>
      </w:r>
    </w:p>
    <w:p w:rsidR="00930163" w14:paraId="3A108675" w14:textId="77777777">
      <w:pPr>
        <w:spacing w:after="5"/>
        <w:ind w:left="1450" w:right="1"/>
      </w:pPr>
      <w:r>
        <w:t>4.</w:t>
      </w:r>
      <w:r>
        <w:rPr>
          <w:rFonts w:ascii="Arial" w:eastAsia="Arial" w:hAnsi="Arial" w:cs="Arial"/>
        </w:rPr>
        <w:t xml:space="preserve"> </w:t>
      </w:r>
      <w:r>
        <w:t xml:space="preserve">Clinical Personnel should not attend or participate in industry-sponsored events for primarily promotional/marketing purposes. </w:t>
      </w:r>
    </w:p>
    <w:p w:rsidR="00930163" w14:paraId="27030495" w14:textId="77777777">
      <w:pPr>
        <w:spacing w:after="58" w:line="259" w:lineRule="auto"/>
        <w:ind w:left="1440" w:firstLine="0"/>
      </w:pPr>
      <w:r>
        <w:t xml:space="preserve"> </w:t>
      </w:r>
    </w:p>
    <w:p w:rsidR="00930163" w14:paraId="39D385F2" w14:textId="77777777">
      <w:pPr>
        <w:numPr>
          <w:ilvl w:val="0"/>
          <w:numId w:val="1"/>
        </w:numPr>
        <w:ind w:right="1" w:hanging="360"/>
      </w:pPr>
      <w:r>
        <w:t xml:space="preserve">Travel Expenses </w:t>
      </w:r>
    </w:p>
    <w:p w:rsidR="00930163" w14:paraId="02C66923" w14:textId="77777777">
      <w:pPr>
        <w:numPr>
          <w:ilvl w:val="1"/>
          <w:numId w:val="1"/>
        </w:numPr>
        <w:ind w:right="1" w:hanging="360"/>
      </w:pPr>
      <w:r>
        <w:t xml:space="preserve">Clinical </w:t>
      </w:r>
      <w:r>
        <w:t xml:space="preserve">Personnel may not accept travel funds from industry, except for legitimate reimbursement of reasonable and necessary travel expenses in the following circumstances: </w:t>
      </w:r>
    </w:p>
    <w:p w:rsidR="00930163" w14:paraId="10BC1D7D" w14:textId="77777777">
      <w:pPr>
        <w:spacing w:after="8"/>
        <w:ind w:left="2145" w:right="1" w:firstLine="0"/>
      </w:pPr>
      <w:r>
        <w:t>a.</w:t>
      </w:r>
      <w:r>
        <w:rPr>
          <w:rFonts w:ascii="Arial" w:eastAsia="Arial" w:hAnsi="Arial" w:cs="Arial"/>
        </w:rPr>
        <w:t xml:space="preserve"> </w:t>
      </w:r>
      <w:r>
        <w:t xml:space="preserve">To provide services rendered in accordance with the terms of a written agreement </w:t>
      </w:r>
    </w:p>
    <w:p w:rsidR="00930163" w14:paraId="1BC3F99D" w14:textId="77777777">
      <w:pPr>
        <w:ind w:left="2520" w:right="1" w:firstLine="0"/>
      </w:pPr>
      <w:r>
        <w:t>(e.g.</w:t>
      </w:r>
      <w:r>
        <w:t xml:space="preserve">, approved consulting activity, invited speaker); or </w:t>
      </w:r>
    </w:p>
    <w:p w:rsidR="00930163" w14:paraId="484BC52A" w14:textId="77777777">
      <w:pPr>
        <w:spacing w:after="5"/>
        <w:ind w:left="2515" w:right="1"/>
      </w:pPr>
      <w:r>
        <w:t>b.</w:t>
      </w:r>
      <w:r>
        <w:rPr>
          <w:rFonts w:ascii="Arial" w:eastAsia="Arial" w:hAnsi="Arial" w:cs="Arial"/>
        </w:rPr>
        <w:t xml:space="preserve"> </w:t>
      </w:r>
      <w:r>
        <w:t xml:space="preserve">For in-service training or on-site inspection and demonstration of capital equipment or devices. </w:t>
      </w:r>
    </w:p>
    <w:p w:rsidR="00930163" w14:paraId="1DD7C0E4" w14:textId="77777777">
      <w:pPr>
        <w:spacing w:after="57" w:line="259" w:lineRule="auto"/>
        <w:ind w:left="2520" w:firstLine="0"/>
      </w:pPr>
      <w:r>
        <w:t xml:space="preserve"> </w:t>
      </w:r>
    </w:p>
    <w:p w:rsidR="00930163" w14:paraId="790F9C21" w14:textId="77777777">
      <w:pPr>
        <w:numPr>
          <w:ilvl w:val="0"/>
          <w:numId w:val="1"/>
        </w:numPr>
        <w:ind w:right="1" w:hanging="360"/>
      </w:pPr>
      <w:r>
        <w:t xml:space="preserve">Authorship </w:t>
      </w:r>
    </w:p>
    <w:p w:rsidR="00930163" w14:paraId="66E58BC2" w14:textId="77777777">
      <w:pPr>
        <w:numPr>
          <w:ilvl w:val="1"/>
          <w:numId w:val="1"/>
        </w:numPr>
        <w:ind w:right="1" w:hanging="360"/>
      </w:pPr>
      <w:r>
        <w:t>Clinical Personnel are prohibited from being listed as an author on an article unless t</w:t>
      </w:r>
      <w:r>
        <w:t xml:space="preserve">hey make a substantive contribution to the content of the article. Industry representatives or others retained by industry that contribute to an article on which Clinical Personnel appear as authors must be listed as contributors or authors on the article </w:t>
      </w:r>
      <w:r>
        <w:t xml:space="preserve">and their industry affiliation must be disclosed in the published article. </w:t>
      </w:r>
    </w:p>
    <w:p w:rsidR="00930163" w14:paraId="0F2F6F5D" w14:textId="77777777">
      <w:pPr>
        <w:numPr>
          <w:ilvl w:val="1"/>
          <w:numId w:val="1"/>
        </w:numPr>
        <w:spacing w:after="6"/>
        <w:ind w:right="1" w:hanging="360"/>
      </w:pPr>
      <w:r>
        <w:t>The practice of being named as an author on an article that contains substantial portions wri</w:t>
      </w:r>
      <w:r>
        <w:t xml:space="preserve">tten by someone who is not listed as an author (i.e., ghostwriting) is unacceptable under all circumstances. </w:t>
      </w:r>
    </w:p>
    <w:p w:rsidR="00930163" w14:paraId="29D00D1E" w14:textId="77777777">
      <w:pPr>
        <w:spacing w:after="59" w:line="259" w:lineRule="auto"/>
        <w:ind w:left="1440" w:firstLine="0"/>
      </w:pPr>
      <w:r>
        <w:t xml:space="preserve"> </w:t>
      </w:r>
    </w:p>
    <w:p w:rsidR="00930163" w14:paraId="2D93F292" w14:textId="77777777">
      <w:pPr>
        <w:numPr>
          <w:ilvl w:val="0"/>
          <w:numId w:val="1"/>
        </w:numPr>
        <w:ind w:right="1" w:hanging="360"/>
      </w:pPr>
      <w:r>
        <w:t xml:space="preserve">Scholarships/Fellowships/Other Educational Funds for Trainees </w:t>
      </w:r>
    </w:p>
    <w:p w:rsidR="00930163" w14:paraId="1FCD8722" w14:textId="77777777">
      <w:pPr>
        <w:numPr>
          <w:ilvl w:val="1"/>
          <w:numId w:val="1"/>
        </w:numPr>
        <w:ind w:right="1" w:hanging="360"/>
      </w:pPr>
      <w:r>
        <w:t>Industry support for scholarships, fellowships, or other educational programs for</w:t>
      </w:r>
      <w:r>
        <w:t xml:space="preserve"> trainees must comply with </w:t>
      </w:r>
      <w:r>
        <w:t>all of</w:t>
      </w:r>
      <w:r>
        <w:t xml:space="preserve"> the following: </w:t>
      </w:r>
    </w:p>
    <w:p w:rsidR="00930163" w14:paraId="2AC5F0C1" w14:textId="77777777">
      <w:pPr>
        <w:numPr>
          <w:ilvl w:val="4"/>
          <w:numId w:val="5"/>
        </w:numPr>
        <w:ind w:right="1" w:hanging="360"/>
      </w:pPr>
      <w:r>
        <w:t xml:space="preserve">The funds must be given directly to the School of Medicine Department or Section in accordance with </w:t>
      </w:r>
      <w:r>
        <w:t>University</w:t>
      </w:r>
      <w:r>
        <w:t xml:space="preserve"> policy and may not be provided directly to the trainee; </w:t>
      </w:r>
    </w:p>
    <w:p w:rsidR="00930163" w14:paraId="06B1E7F2" w14:textId="77777777">
      <w:pPr>
        <w:numPr>
          <w:ilvl w:val="4"/>
          <w:numId w:val="5"/>
        </w:numPr>
        <w:ind w:right="1" w:hanging="360"/>
      </w:pPr>
      <w:r>
        <w:t>The Department, Section, or Program mu</w:t>
      </w:r>
      <w:r>
        <w:t xml:space="preserve">st determine that the conference or training has educational </w:t>
      </w:r>
      <w:r>
        <w:t>merit;</w:t>
      </w:r>
      <w:r>
        <w:t xml:space="preserve"> </w:t>
      </w:r>
    </w:p>
    <w:p w:rsidR="00930163" w14:paraId="721BDB7E" w14:textId="77777777">
      <w:pPr>
        <w:numPr>
          <w:ilvl w:val="4"/>
          <w:numId w:val="5"/>
        </w:numPr>
        <w:ind w:right="1" w:hanging="360"/>
      </w:pPr>
      <w:r>
        <w:t xml:space="preserve">The industry donor may not have any input or involvement in the selection of the individual(s) that will receive the funding; and </w:t>
      </w:r>
    </w:p>
    <w:p w:rsidR="00930163" w14:paraId="31C073E6" w14:textId="77777777">
      <w:pPr>
        <w:numPr>
          <w:ilvl w:val="4"/>
          <w:numId w:val="5"/>
        </w:numPr>
        <w:ind w:right="1" w:hanging="360"/>
      </w:pPr>
      <w:r>
        <w:t>The recipient of the funds may not be subject to any imp</w:t>
      </w:r>
      <w:r>
        <w:t xml:space="preserve">licit or explicit quid pro quo (i.e., “no strings are attached”). </w:t>
      </w:r>
    </w:p>
    <w:p w:rsidR="00930163" w14:paraId="3F2B1399" w14:textId="77777777">
      <w:pPr>
        <w:numPr>
          <w:ilvl w:val="1"/>
          <w:numId w:val="1"/>
        </w:numPr>
        <w:spacing w:after="6"/>
        <w:ind w:right="1" w:hanging="360"/>
      </w:pPr>
      <w:r>
        <w:t>In situations where a scholarship for participation in an educational program is administered by the industry sponsor, the application must be approved in advance by the Department Chair or</w:t>
      </w:r>
      <w:r>
        <w:t xml:space="preserve"> Section Chief. </w:t>
      </w:r>
    </w:p>
    <w:p w:rsidR="00930163" w14:paraId="729BB4A3" w14:textId="77777777">
      <w:pPr>
        <w:spacing w:after="59" w:line="259" w:lineRule="auto"/>
        <w:ind w:left="1440" w:firstLine="0"/>
      </w:pPr>
      <w:r>
        <w:t xml:space="preserve"> </w:t>
      </w:r>
    </w:p>
    <w:p w:rsidR="00930163" w14:paraId="5A6DCC2C" w14:textId="77777777">
      <w:pPr>
        <w:numPr>
          <w:ilvl w:val="0"/>
          <w:numId w:val="1"/>
        </w:numPr>
        <w:ind w:right="1" w:hanging="360"/>
      </w:pPr>
      <w:r>
        <w:t xml:space="preserve">Disclosure of Industry Relationships </w:t>
      </w:r>
    </w:p>
    <w:p w:rsidR="00930163" w14:paraId="413E90AC" w14:textId="77777777">
      <w:pPr>
        <w:numPr>
          <w:ilvl w:val="1"/>
          <w:numId w:val="1"/>
        </w:numPr>
        <w:ind w:right="1" w:hanging="360"/>
      </w:pPr>
      <w:r>
        <w:t xml:space="preserve">Clinical Personnel must disclose industry relationships to Yale University in accordance with the University Policy on Conflict of Interest and Conflict of Commitment; </w:t>
      </w:r>
      <w:hyperlink r:id="rId36">
        <w:r>
          <w:rPr>
            <w:color w:val="0000FF"/>
            <w:u w:val="single" w:color="0000FF"/>
          </w:rPr>
          <w:t>https://your.yale.edu/research</w:t>
        </w:r>
      </w:hyperlink>
      <w:hyperlink r:id="rId37">
        <w:r>
          <w:rPr>
            <w:color w:val="0000FF"/>
            <w:u w:val="single" w:color="0000FF"/>
          </w:rPr>
          <w:t>-</w:t>
        </w:r>
      </w:hyperlink>
      <w:hyperlink r:id="rId38">
        <w:r>
          <w:rPr>
            <w:color w:val="0000FF"/>
            <w:u w:val="single" w:color="0000FF"/>
          </w:rPr>
          <w:t>support/conflict</w:t>
        </w:r>
      </w:hyperlink>
      <w:hyperlink r:id="rId39">
        <w:r>
          <w:rPr>
            <w:color w:val="0000FF"/>
            <w:u w:val="single" w:color="0000FF"/>
          </w:rPr>
          <w:t>-</w:t>
        </w:r>
      </w:hyperlink>
      <w:hyperlink r:id="rId40">
        <w:r>
          <w:rPr>
            <w:color w:val="0000FF"/>
            <w:u w:val="single" w:color="0000FF"/>
          </w:rPr>
          <w:t>interest/coi</w:t>
        </w:r>
      </w:hyperlink>
      <w:hyperlink r:id="rId41">
        <w:r>
          <w:rPr>
            <w:color w:val="0000FF"/>
            <w:u w:val="single" w:color="0000FF"/>
          </w:rPr>
          <w:t>-</w:t>
        </w:r>
      </w:hyperlink>
      <w:hyperlink r:id="rId42">
        <w:r>
          <w:rPr>
            <w:color w:val="0000FF"/>
            <w:u w:val="single" w:color="0000FF"/>
          </w:rPr>
          <w:t>policies</w:t>
        </w:r>
      </w:hyperlink>
      <w:hyperlink r:id="rId43">
        <w:r>
          <w:rPr>
            <w:color w:val="0000FF"/>
            <w:u w:val="single" w:color="0000FF"/>
          </w:rPr>
          <w:t>-</w:t>
        </w:r>
      </w:hyperlink>
      <w:hyperlink r:id="rId44">
        <w:r>
          <w:rPr>
            <w:color w:val="0000FF"/>
            <w:u w:val="single" w:color="0000FF"/>
          </w:rPr>
          <w:t>procedures</w:t>
        </w:r>
      </w:hyperlink>
      <w:hyperlink r:id="rId45">
        <w:r>
          <w:t>.</w:t>
        </w:r>
      </w:hyperlink>
      <w:r>
        <w:t xml:space="preserve"> </w:t>
      </w:r>
    </w:p>
    <w:p w:rsidR="00930163" w14:paraId="1840E46A" w14:textId="77777777">
      <w:pPr>
        <w:ind w:left="2170" w:right="1"/>
      </w:pPr>
      <w:r>
        <w:t>a.</w:t>
      </w:r>
      <w:r>
        <w:rPr>
          <w:rFonts w:ascii="Arial" w:eastAsia="Arial" w:hAnsi="Arial" w:cs="Arial"/>
        </w:rPr>
        <w:t xml:space="preserve"> </w:t>
      </w:r>
      <w:r>
        <w:t>If there is a ch</w:t>
      </w:r>
      <w:r>
        <w:t xml:space="preserve">ange, it is expected that faculty members will disclose expected changes or newly anticipated financial or outside interests before they occur.  </w:t>
      </w:r>
    </w:p>
    <w:p w:rsidR="00930163" w14:paraId="0C876664" w14:textId="77777777">
      <w:pPr>
        <w:numPr>
          <w:ilvl w:val="1"/>
          <w:numId w:val="1"/>
        </w:numPr>
        <w:ind w:right="1" w:hanging="360"/>
      </w:pPr>
      <w:r>
        <w:rPr>
          <w:b/>
          <w:i/>
        </w:rPr>
        <w:t>Disclosure in publications</w:t>
      </w:r>
      <w:r>
        <w:t>: For articles submitted for publication in a professional journal, Clinical Personn</w:t>
      </w:r>
      <w:r>
        <w:t>el must adhere to the financial interest disclosure requirements of the journal. If the journal does not have a disclosure requirement, Clinical Personnel must adhere to the disclosure requirements recommended by the International Committee of Medical Jour</w:t>
      </w:r>
      <w:r>
        <w:t xml:space="preserve">nal Editors in effect on September 1, 2010, </w:t>
      </w:r>
      <w:hyperlink r:id="rId46">
        <w:r w:rsidRPr="00DE74D0">
          <w:rPr>
            <w:color w:val="0066FF"/>
            <w:u w:val="single" w:color="0000FF"/>
          </w:rPr>
          <w:t>http://www.icmje.org/recommendations/browse/roles</w:t>
        </w:r>
      </w:hyperlink>
      <w:hyperlink r:id="rId47">
        <w:r w:rsidRPr="00DE74D0">
          <w:rPr>
            <w:color w:val="0066FF"/>
            <w:u w:val="single" w:color="0000FF"/>
          </w:rPr>
          <w:t>-</w:t>
        </w:r>
      </w:hyperlink>
      <w:hyperlink r:id="rId48">
        <w:r w:rsidRPr="00DE74D0">
          <w:rPr>
            <w:color w:val="0066FF"/>
            <w:u w:val="single" w:color="0000FF"/>
          </w:rPr>
          <w:t>and</w:t>
        </w:r>
      </w:hyperlink>
      <w:hyperlink r:id="rId49">
        <w:r w:rsidRPr="00DE74D0">
          <w:rPr>
            <w:rStyle w:val="Hyperlink"/>
            <w:color w:val="0066FF"/>
          </w:rPr>
          <w:t>http://www.icmje.org/recommendations/browse/roles-and-responsibilities/author-responsibilities--conflicts-of-interest.html</w:t>
        </w:r>
      </w:hyperlink>
      <w:hyperlink r:id="rId50">
        <w:r w:rsidRPr="00DE74D0">
          <w:rPr>
            <w:color w:val="0066FF"/>
            <w:u w:val="single" w:color="0000FF"/>
          </w:rPr>
          <w:t>responsibilities/author</w:t>
        </w:r>
      </w:hyperlink>
      <w:hyperlink r:id="rId51">
        <w:r w:rsidRPr="00DE74D0">
          <w:rPr>
            <w:color w:val="0066FF"/>
            <w:u w:val="single" w:color="0000FF"/>
          </w:rPr>
          <w:t>-</w:t>
        </w:r>
      </w:hyperlink>
      <w:hyperlink r:id="rId52">
        <w:r w:rsidRPr="00DE74D0">
          <w:rPr>
            <w:color w:val="0066FF"/>
            <w:u w:val="single" w:color="0000FF"/>
          </w:rPr>
          <w:t>responsibilities</w:t>
        </w:r>
      </w:hyperlink>
      <w:hyperlink r:id="rId53">
        <w:r w:rsidRPr="00DE74D0">
          <w:rPr>
            <w:color w:val="0066FF"/>
            <w:u w:val="single" w:color="0000FF"/>
          </w:rPr>
          <w:t>--</w:t>
        </w:r>
      </w:hyperlink>
      <w:hyperlink r:id="rId54">
        <w:r w:rsidRPr="00DE74D0">
          <w:rPr>
            <w:color w:val="0066FF"/>
            <w:u w:val="single" w:color="0000FF"/>
          </w:rPr>
          <w:t>conflicts</w:t>
        </w:r>
      </w:hyperlink>
      <w:hyperlink r:id="rId55">
        <w:r w:rsidRPr="00DE74D0">
          <w:rPr>
            <w:color w:val="0066FF"/>
            <w:u w:val="single" w:color="0000FF"/>
          </w:rPr>
          <w:t>-</w:t>
        </w:r>
      </w:hyperlink>
      <w:hyperlink r:id="rId56">
        <w:r w:rsidRPr="00DE74D0">
          <w:rPr>
            <w:color w:val="0066FF"/>
            <w:u w:val="single" w:color="0000FF"/>
          </w:rPr>
          <w:t>of</w:t>
        </w:r>
      </w:hyperlink>
      <w:hyperlink r:id="rId57">
        <w:r w:rsidRPr="00DE74D0">
          <w:rPr>
            <w:color w:val="0066FF"/>
            <w:u w:val="single" w:color="0000FF"/>
          </w:rPr>
          <w:t>-</w:t>
        </w:r>
      </w:hyperlink>
      <w:hyperlink r:id="rId58">
        <w:r w:rsidRPr="00DE74D0">
          <w:rPr>
            <w:color w:val="0066FF"/>
            <w:u w:val="single" w:color="0000FF"/>
          </w:rPr>
          <w:t>interest.html</w:t>
        </w:r>
      </w:hyperlink>
      <w:hyperlink r:id="rId59">
        <w:r w:rsidRPr="00DE74D0">
          <w:rPr>
            <w:color w:val="0066FF"/>
          </w:rPr>
          <w:t>.</w:t>
        </w:r>
      </w:hyperlink>
      <w:r>
        <w:t xml:space="preserve">  </w:t>
      </w:r>
    </w:p>
    <w:p w:rsidR="00930163" w14:paraId="416FC06D" w14:textId="77777777">
      <w:pPr>
        <w:numPr>
          <w:ilvl w:val="1"/>
          <w:numId w:val="1"/>
        </w:numPr>
        <w:ind w:right="1" w:hanging="360"/>
      </w:pPr>
      <w:r>
        <w:rPr>
          <w:b/>
          <w:i/>
        </w:rPr>
        <w:t>Disclosure in presentations</w:t>
      </w:r>
      <w:r>
        <w:t>: For presentat</w:t>
      </w:r>
      <w:r>
        <w:t>ions given in connection with a meeting of a professional society, Clinical Personnel must adhere to the financial interest disclosure requirements of the society. In addition to any requirements of the society, the disclosure must comply with the ACCME St</w:t>
      </w:r>
      <w:r>
        <w:t xml:space="preserve">andards, and the presentation must include a slide with the disclosure information. </w:t>
      </w:r>
    </w:p>
    <w:p w:rsidR="00930163" w14:paraId="7735F4FA" w14:textId="77777777">
      <w:pPr>
        <w:numPr>
          <w:ilvl w:val="1"/>
          <w:numId w:val="1"/>
        </w:numPr>
        <w:ind w:right="1" w:hanging="360"/>
      </w:pPr>
      <w:r>
        <w:rPr>
          <w:b/>
          <w:i/>
        </w:rPr>
        <w:t>Disclosure to patients</w:t>
      </w:r>
      <w:r>
        <w:t>: Clinical Personnel must disclose all relevant financial interests to patients. The timing, method and content of the disclosure shall be determined</w:t>
      </w:r>
      <w:r>
        <w:t xml:space="preserve"> by the YM Senior Director of Compliance and the Deputy Dean of Clinical Affairs or their designee. If based on your disclosure it is determined that your financial interests are relevant and require disclosure to the patients, you will receive detailed in</w:t>
      </w:r>
      <w:r>
        <w:t xml:space="preserve">structions from the YM Senior Director of Compliance.  </w:t>
      </w:r>
    </w:p>
    <w:p w:rsidR="00930163" w14:paraId="6C0423C9" w14:textId="77777777">
      <w:pPr>
        <w:numPr>
          <w:ilvl w:val="1"/>
          <w:numId w:val="1"/>
        </w:numPr>
        <w:ind w:right="1" w:hanging="360"/>
      </w:pPr>
      <w:r>
        <w:rPr>
          <w:b/>
          <w:i/>
        </w:rPr>
        <w:t>Disclosure to students/trainees</w:t>
      </w:r>
      <w:r>
        <w:t>: Clinical Personnel must disclose all relevant financial interests to the students and trainees. The timing, method and content of the disclosure shall be determined by</w:t>
      </w:r>
      <w:r>
        <w:t xml:space="preserve"> the individual program.  </w:t>
      </w:r>
    </w:p>
    <w:p w:rsidR="00930163" w14:paraId="75DDD7B8" w14:textId="77777777">
      <w:pPr>
        <w:numPr>
          <w:ilvl w:val="1"/>
          <w:numId w:val="1"/>
        </w:numPr>
        <w:spacing w:after="17"/>
        <w:ind w:right="1" w:hanging="360"/>
      </w:pPr>
      <w:r>
        <w:rPr>
          <w:b/>
          <w:i/>
        </w:rPr>
        <w:t>Disclosure to the public</w:t>
      </w:r>
      <w:r>
        <w:t xml:space="preserve">: The University will disclose to its patient community’s information regarding the industry relationships of Clinical Personnel that relate their university responsibilities. The format and mechanism for </w:t>
      </w:r>
      <w:r>
        <w:t xml:space="preserve">such disclosures remain to be determined, but may include public websites, informational brochures, etc. </w:t>
      </w:r>
    </w:p>
    <w:p w:rsidR="00930163" w14:paraId="5AA997DE" w14:textId="77777777">
      <w:pPr>
        <w:numPr>
          <w:ilvl w:val="1"/>
          <w:numId w:val="1"/>
        </w:numPr>
        <w:spacing w:after="0" w:line="276" w:lineRule="auto"/>
        <w:ind w:right="1" w:hanging="360"/>
      </w:pPr>
      <w:r>
        <w:rPr>
          <w:b/>
          <w:i/>
        </w:rPr>
        <w:t>Open Payments</w:t>
      </w:r>
      <w:r>
        <w:t xml:space="preserve">: </w:t>
      </w:r>
      <w:r>
        <w:rPr>
          <w:rFonts w:ascii="Times New Roman" w:eastAsia="Times New Roman" w:hAnsi="Times New Roman" w:cs="Times New Roman"/>
        </w:rPr>
        <w:t xml:space="preserve">Clinical Personnel should be aware of CMS Open Payments which is a national disclosure program created to promote </w:t>
      </w:r>
      <w:r>
        <w:rPr>
          <w:rFonts w:ascii="Times New Roman" w:eastAsia="Times New Roman" w:hAnsi="Times New Roman" w:cs="Times New Roman"/>
        </w:rPr>
        <w:t>transparency of payments made to providers by certain entities such as drug and medical devices companies. Clinical Personnel are encouraged to use the publicly available Open Payments Search Tool to see all payments made to them by such companies. The too</w:t>
      </w:r>
      <w:r>
        <w:rPr>
          <w:rFonts w:ascii="Times New Roman" w:eastAsia="Times New Roman" w:hAnsi="Times New Roman" w:cs="Times New Roman"/>
        </w:rPr>
        <w:t xml:space="preserve">l can be accessed at </w:t>
      </w:r>
      <w:hyperlink r:id="rId60">
        <w:r>
          <w:rPr>
            <w:rFonts w:ascii="Times New Roman" w:eastAsia="Times New Roman" w:hAnsi="Times New Roman" w:cs="Times New Roman"/>
            <w:i/>
            <w:color w:val="0563C1"/>
            <w:u w:val="single" w:color="0563C1"/>
          </w:rPr>
          <w:t>https://openpaymentsdata.cms.gov/search</w:t>
        </w:r>
      </w:hyperlink>
      <w:hyperlink r:id="rId61">
        <w:r>
          <w:t xml:space="preserve"> </w:t>
        </w:r>
      </w:hyperlink>
    </w:p>
    <w:p w:rsidR="00930163" w14:paraId="3733FA63" w14:textId="77777777">
      <w:pPr>
        <w:spacing w:after="56" w:line="259" w:lineRule="auto"/>
        <w:ind w:left="360" w:firstLine="0"/>
      </w:pPr>
      <w:r>
        <w:t xml:space="preserve"> </w:t>
      </w:r>
    </w:p>
    <w:p w:rsidR="00930163" w14:paraId="60198087" w14:textId="77777777">
      <w:pPr>
        <w:numPr>
          <w:ilvl w:val="0"/>
          <w:numId w:val="1"/>
        </w:numPr>
        <w:ind w:right="1" w:hanging="360"/>
      </w:pPr>
      <w:r>
        <w:t>Enforc</w:t>
      </w:r>
      <w:r>
        <w:t xml:space="preserve">ement </w:t>
      </w:r>
    </w:p>
    <w:p w:rsidR="00930163" w14:paraId="4D64AFB5" w14:textId="77777777">
      <w:pPr>
        <w:numPr>
          <w:ilvl w:val="1"/>
          <w:numId w:val="1"/>
        </w:numPr>
        <w:ind w:right="1" w:hanging="360"/>
      </w:pPr>
      <w:r>
        <w:t xml:space="preserve">Suspected violations of this policy shall be referred to the Yale Medicine Compliance Department for review. Depending on the nature of the alleged violation the Yale Medicine Compliance </w:t>
      </w:r>
      <w:r>
        <w:t>Department may coordinate with other appropriate University co</w:t>
      </w:r>
      <w:r>
        <w:t xml:space="preserve">mmittees or offices in the review.  </w:t>
      </w:r>
    </w:p>
    <w:p w:rsidR="00930163" w14:paraId="2AB5857A" w14:textId="77777777">
      <w:pPr>
        <w:numPr>
          <w:ilvl w:val="1"/>
          <w:numId w:val="1"/>
        </w:numPr>
        <w:ind w:right="1" w:hanging="360"/>
      </w:pPr>
      <w:r>
        <w:t xml:space="preserve">Violations of this policy will be subject to corrective or disciplinary action by the School of Medicine. The corrective or disciplinary action(s) imposed will in each case depend on several factors, including: </w:t>
      </w:r>
    </w:p>
    <w:p w:rsidR="00930163" w14:paraId="10CE612E" w14:textId="77777777">
      <w:pPr>
        <w:numPr>
          <w:ilvl w:val="4"/>
          <w:numId w:val="6"/>
        </w:numPr>
        <w:ind w:right="1" w:hanging="360"/>
      </w:pPr>
      <w:r>
        <w:t>The ser</w:t>
      </w:r>
      <w:r>
        <w:t xml:space="preserve">iousness of the violation. </w:t>
      </w:r>
    </w:p>
    <w:p w:rsidR="00930163" w14:paraId="5872DC9A" w14:textId="77777777">
      <w:pPr>
        <w:numPr>
          <w:ilvl w:val="4"/>
          <w:numId w:val="6"/>
        </w:numPr>
        <w:ind w:right="1" w:hanging="360"/>
      </w:pPr>
      <w:r>
        <w:t xml:space="preserve">Whether the violation was a first or repeat offense. </w:t>
      </w:r>
    </w:p>
    <w:p w:rsidR="00930163" w14:paraId="4985F74E" w14:textId="77777777">
      <w:pPr>
        <w:numPr>
          <w:ilvl w:val="4"/>
          <w:numId w:val="6"/>
        </w:numPr>
        <w:ind w:right="1" w:hanging="360"/>
      </w:pPr>
      <w:r>
        <w:t xml:space="preserve">Whether the violation was inadvertent or deliberate; and </w:t>
      </w:r>
    </w:p>
    <w:p w:rsidR="00930163" w14:paraId="336D52BD" w14:textId="77777777">
      <w:pPr>
        <w:numPr>
          <w:ilvl w:val="4"/>
          <w:numId w:val="6"/>
        </w:numPr>
        <w:ind w:right="1" w:hanging="360"/>
      </w:pPr>
      <w:r>
        <w:t xml:space="preserve">The magnitude of any harm caused to the School of Medicine and Yale University. </w:t>
      </w:r>
    </w:p>
    <w:p w:rsidR="00930163" w14:paraId="040BE99E" w14:textId="77777777">
      <w:pPr>
        <w:numPr>
          <w:ilvl w:val="1"/>
          <w:numId w:val="1"/>
        </w:numPr>
        <w:ind w:right="1" w:hanging="360"/>
      </w:pPr>
      <w:r>
        <w:t>Potential corrective and disciplina</w:t>
      </w:r>
      <w:r>
        <w:t xml:space="preserve">ry actions that may be imposed, singly or in any combination, for a violation of this Policy include, but are not limited to: </w:t>
      </w:r>
    </w:p>
    <w:p w:rsidR="00930163" w14:paraId="580DF46A" w14:textId="77777777">
      <w:pPr>
        <w:numPr>
          <w:ilvl w:val="4"/>
          <w:numId w:val="2"/>
        </w:numPr>
        <w:ind w:right="1" w:hanging="360"/>
      </w:pPr>
      <w:r>
        <w:t xml:space="preserve">Further education or training for the individual on the requirements of this Policy and/or on conflict-of-interest principles. </w:t>
      </w:r>
    </w:p>
    <w:p w:rsidR="00930163" w14:paraId="2A66722E" w14:textId="77777777">
      <w:pPr>
        <w:numPr>
          <w:ilvl w:val="4"/>
          <w:numId w:val="2"/>
        </w:numPr>
        <w:ind w:right="1" w:hanging="360"/>
      </w:pPr>
      <w:r>
        <w:t>W</w:t>
      </w:r>
      <w:r>
        <w:t xml:space="preserve">ritten reprimand. </w:t>
      </w:r>
    </w:p>
    <w:p w:rsidR="00930163" w14:paraId="3737293A" w14:textId="77777777">
      <w:pPr>
        <w:numPr>
          <w:ilvl w:val="4"/>
          <w:numId w:val="2"/>
        </w:numPr>
        <w:ind w:right="1" w:hanging="360"/>
      </w:pPr>
      <w:r>
        <w:t xml:space="preserve">Correction of disclosure information published by the individual. </w:t>
      </w:r>
    </w:p>
    <w:p w:rsidR="00930163" w14:paraId="5A3559BB" w14:textId="77777777">
      <w:pPr>
        <w:numPr>
          <w:ilvl w:val="4"/>
          <w:numId w:val="2"/>
        </w:numPr>
        <w:spacing w:after="47" w:line="268" w:lineRule="auto"/>
        <w:ind w:right="1" w:hanging="360"/>
      </w:pPr>
      <w:r>
        <w:t xml:space="preserve">Restrictions on the individual’s external professional relationships. </w:t>
      </w:r>
    </w:p>
    <w:p w:rsidR="00930163" w14:paraId="4BC03599" w14:textId="77777777">
      <w:pPr>
        <w:numPr>
          <w:ilvl w:val="4"/>
          <w:numId w:val="2"/>
        </w:numPr>
        <w:spacing w:after="47" w:line="268" w:lineRule="auto"/>
        <w:ind w:right="1" w:hanging="360"/>
      </w:pPr>
      <w:r>
        <w:t xml:space="preserve">Restrictions on the individual’s supervision of other faculty, staff, students, and/or trainees. </w:t>
      </w:r>
    </w:p>
    <w:p w:rsidR="00930163" w14:paraId="27D5002E" w14:textId="77777777">
      <w:pPr>
        <w:numPr>
          <w:ilvl w:val="4"/>
          <w:numId w:val="2"/>
        </w:numPr>
        <w:ind w:right="1" w:hanging="360"/>
      </w:pPr>
      <w:r>
        <w:t xml:space="preserve">Restrictions on the individual’s research or clinical </w:t>
      </w:r>
      <w:r>
        <w:t>activities;</w:t>
      </w:r>
      <w:r>
        <w:t xml:space="preserve"> </w:t>
      </w:r>
    </w:p>
    <w:p w:rsidR="00930163" w14:paraId="3174B722" w14:textId="77777777">
      <w:pPr>
        <w:numPr>
          <w:ilvl w:val="4"/>
          <w:numId w:val="2"/>
        </w:numPr>
        <w:ind w:right="1" w:hanging="360"/>
      </w:pPr>
      <w:r>
        <w:t xml:space="preserve">Removal of the individual from </w:t>
      </w:r>
      <w:r>
        <w:t>University</w:t>
      </w:r>
      <w:r>
        <w:t xml:space="preserve"> administrative positions; or </w:t>
      </w:r>
    </w:p>
    <w:p w:rsidR="00930163" w14:paraId="65A265B2" w14:textId="453A2083">
      <w:pPr>
        <w:numPr>
          <w:ilvl w:val="4"/>
          <w:numId w:val="2"/>
        </w:numPr>
        <w:spacing w:after="7"/>
        <w:ind w:right="1" w:hanging="360"/>
      </w:pPr>
      <w:r>
        <w:t xml:space="preserve">Other corrective and disciplinary actions available under applicable University policies, up to and including termination. </w:t>
      </w:r>
    </w:p>
    <w:p w:rsidR="00C64EB9" w:rsidP="00C64EB9" w14:paraId="61FE1F40" w14:textId="6D01B609">
      <w:pPr>
        <w:spacing w:after="7"/>
        <w:ind w:right="1"/>
      </w:pPr>
    </w:p>
    <w:p w:rsidR="00C64EB9" w:rsidRPr="00C64EB9" w:rsidP="00C64EB9" w14:paraId="75B164A9" w14:textId="3CFA781C">
      <w:pPr>
        <w:spacing w:after="7"/>
        <w:ind w:right="1" w:firstLine="0"/>
        <w:rPr>
          <w:b/>
          <w:bCs/>
        </w:rPr>
      </w:pPr>
      <w:r w:rsidRPr="00C64EB9">
        <w:rPr>
          <w:b/>
          <w:bCs/>
        </w:rPr>
        <w:t>Contact Information</w:t>
      </w:r>
    </w:p>
    <w:p w:rsidR="00C64EB9" w:rsidP="00C64EB9" w14:paraId="3410964E" w14:textId="77777777">
      <w:pPr>
        <w:spacing w:after="7"/>
        <w:ind w:right="1" w:firstLine="0"/>
      </w:pPr>
      <w:r>
        <w:t>For general questions about this policy, please contact the YSM Office of Clinical Affairs at</w:t>
      </w:r>
    </w:p>
    <w:p w:rsidR="00A44FD9" w:rsidRPr="00A44FD9" w:rsidP="000E411E" w14:paraId="63474D39" w14:textId="40B92BEF">
      <w:pPr>
        <w:spacing w:after="7"/>
        <w:ind w:right="1" w:firstLine="0"/>
      </w:pPr>
      <w:r>
        <w:t>clinicalaffairs@y</w:t>
      </w:r>
      <w:r>
        <w:t>ale.edu</w:t>
      </w:r>
    </w:p>
    <w:sectPr>
      <w:headerReference w:type="even" r:id="rId62"/>
      <w:headerReference w:type="default" r:id="rId63"/>
      <w:footerReference w:type="default" r:id="rId64"/>
      <w:headerReference w:type="first" r:id="rId65"/>
      <w:footerReference w:type="first" r:id="rId66"/>
      <w:type w:val="continuous"/>
      <w:pgSz w:w="12240" w:h="15840"/>
      <w:pgMar w:top="1189" w:right="543" w:bottom="719" w:left="720" w:header="72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22743967"/>
      <w:docPartObj>
        <w:docPartGallery w:val="Page Numbers (Bottom of Page)"/>
        <w:docPartUnique/>
      </w:docPartObj>
    </w:sdtPr>
    <w:sdtContent>
      <w:sdt>
        <w:sdtPr>
          <w:id w:val="-1769616900"/>
          <w:docPartObj>
            <w:docPartGallery w:val="Page Numbers (Top of Page)"/>
            <w:docPartUnique/>
          </w:docPartObj>
        </w:sdtPr>
        <w:sdtContent>
          <w:p w:rsidR="00EF6513" w:rsidRPr="00B677B9" w:rsidP="00A44FD9" w14:paraId="6DACC586" w14:textId="27DC27DF">
            <w:pPr>
              <w:tabs>
                <w:tab w:val="left" w:pos="3315"/>
                <w:tab w:val="center" w:pos="4320"/>
                <w:tab w:val="right" w:pos="8640"/>
                <w:tab w:val="right" w:pos="936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Pr>
                <w:rFonts w:ascii="Arial" w:eastAsia="Times New Roman" w:hAnsi="Arial" w:cs="Times New Roman"/>
                <w:color w:val="auto"/>
                <w:sz w:val="20"/>
                <w:szCs w:val="20"/>
              </w:rPr>
              <w:tab/>
            </w:r>
            <w:r w:rsidR="00323EFC">
              <w:rPr>
                <w:rFonts w:ascii="Arial" w:eastAsia="Times New Roman" w:hAnsi="Arial" w:cs="Times New Roman"/>
                <w:color w:val="auto"/>
                <w:sz w:val="20"/>
                <w:szCs w:val="20"/>
              </w:rPr>
              <w:t xml:space="preserve">Page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PAGE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9</w:t>
            </w:r>
            <w:r w:rsidR="00323EFC">
              <w:rPr>
                <w:rFonts w:ascii="Arial" w:eastAsia="Times New Roman" w:hAnsi="Arial" w:cs="Times New Roman"/>
                <w:b/>
                <w:bCs/>
                <w:color w:val="auto"/>
                <w:szCs w:val="24"/>
              </w:rPr>
              <w:fldChar w:fldCharType="end"/>
            </w:r>
            <w:r w:rsidR="00323EFC">
              <w:rPr>
                <w:rFonts w:ascii="Arial" w:eastAsia="Times New Roman" w:hAnsi="Arial" w:cs="Times New Roman"/>
                <w:color w:val="auto"/>
                <w:sz w:val="20"/>
                <w:szCs w:val="20"/>
              </w:rPr>
              <w:t xml:space="preserve"> of </w:t>
            </w:r>
            <w:r w:rsidR="00323EFC">
              <w:rPr>
                <w:rFonts w:ascii="Arial" w:eastAsia="Times New Roman" w:hAnsi="Arial" w:cs="Times New Roman"/>
                <w:b/>
                <w:bCs/>
                <w:color w:val="auto"/>
                <w:szCs w:val="24"/>
              </w:rPr>
              <w:fldChar w:fldCharType="begin"/>
            </w:r>
            <w:r w:rsidR="00323EFC">
              <w:rPr>
                <w:rFonts w:ascii="Arial" w:eastAsia="Times New Roman" w:hAnsi="Arial" w:cs="Times New Roman"/>
                <w:b/>
                <w:bCs/>
                <w:color w:val="auto"/>
                <w:sz w:val="20"/>
                <w:szCs w:val="20"/>
              </w:rPr>
              <w:instrText xml:space="preserve"> NUMPAGES  </w:instrText>
            </w:r>
            <w:r w:rsidR="00323EFC">
              <w:rPr>
                <w:rFonts w:ascii="Arial" w:eastAsia="Times New Roman" w:hAnsi="Arial" w:cs="Times New Roman"/>
                <w:b/>
                <w:bCs/>
                <w:color w:val="auto"/>
                <w:szCs w:val="24"/>
              </w:rPr>
              <w:fldChar w:fldCharType="separate"/>
            </w:r>
            <w:r w:rsidR="00323EFC">
              <w:rPr>
                <w:rFonts w:ascii="Arial" w:eastAsia="Times New Roman" w:hAnsi="Arial" w:cs="Times New Roman"/>
                <w:b/>
                <w:bCs/>
                <w:color w:val="auto"/>
                <w:sz w:val="20"/>
                <w:szCs w:val="20"/>
              </w:rPr>
              <w:t>9</w:t>
            </w:r>
            <w:r w:rsidR="00323EFC">
              <w:rPr>
                <w:rFonts w:ascii="Arial" w:eastAsia="Times New Roman" w:hAnsi="Arial" w:cs="Times New Roman"/>
                <w:b/>
                <w:bCs/>
                <w:color w:val="auto"/>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41511444"/>
      <w:docPartObj>
        <w:docPartGallery w:val="Page Numbers (Bottom of Page)"/>
        <w:docPartUnique/>
      </w:docPartObj>
    </w:sdtPr>
    <w:sdtContent>
      <w:sdt>
        <w:sdtPr>
          <w:id w:val="837737268"/>
          <w:docPartObj>
            <w:docPartGallery w:val="Page Numbers (Top of Page)"/>
            <w:docPartUnique/>
          </w:docPartObj>
        </w:sdtPr>
        <w:sdtContent>
          <w:p w:rsidR="00323EFC" w14:paraId="60A5BD3B" w14:textId="70BBCE11">
            <w:pPr>
              <w:tabs>
                <w:tab w:val="center" w:pos="4320"/>
                <w:tab w:val="right" w:pos="8640"/>
              </w:tabs>
              <w:spacing w:before="240" w:after="240" w:line="240" w:lineRule="auto"/>
              <w:ind w:left="0" w:firstLine="0"/>
              <w:contextualSpacing/>
              <w:jc w:val="right"/>
              <w:rPr>
                <w:rFonts w:ascii="Arial" w:eastAsia="Times New Roman" w:hAnsi="Arial" w:cs="Times New Roman"/>
                <w:color w:val="auto"/>
                <w:sz w:val="20"/>
                <w:szCs w:val="20"/>
              </w:rPr>
            </w:pPr>
            <w:r>
              <w:rPr>
                <w:rFonts w:ascii="Arial" w:eastAsia="Times New Roman" w:hAnsi="Arial" w:cs="Times New Roman"/>
                <w:color w:val="auto"/>
                <w:sz w:val="20"/>
                <w:szCs w:val="20"/>
              </w:rPr>
              <w:t xml:space="preserve">Page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PAGE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1</w:t>
            </w:r>
            <w:r>
              <w:rPr>
                <w:rFonts w:ascii="Arial" w:eastAsia="Times New Roman" w:hAnsi="Arial" w:cs="Times New Roman"/>
                <w:b/>
                <w:bCs/>
                <w:color w:val="auto"/>
                <w:szCs w:val="24"/>
              </w:rPr>
              <w:fldChar w:fldCharType="end"/>
            </w:r>
            <w:r>
              <w:rPr>
                <w:rFonts w:ascii="Arial" w:eastAsia="Times New Roman" w:hAnsi="Arial" w:cs="Times New Roman"/>
                <w:color w:val="auto"/>
                <w:sz w:val="20"/>
                <w:szCs w:val="20"/>
              </w:rPr>
              <w:t xml:space="preserve"> of </w:t>
            </w:r>
            <w:r>
              <w:rPr>
                <w:rFonts w:ascii="Arial" w:eastAsia="Times New Roman" w:hAnsi="Arial" w:cs="Times New Roman"/>
                <w:b/>
                <w:bCs/>
                <w:color w:val="auto"/>
                <w:szCs w:val="24"/>
              </w:rPr>
              <w:fldChar w:fldCharType="begin"/>
            </w:r>
            <w:r>
              <w:rPr>
                <w:rFonts w:ascii="Arial" w:eastAsia="Times New Roman" w:hAnsi="Arial" w:cs="Times New Roman"/>
                <w:b/>
                <w:bCs/>
                <w:color w:val="auto"/>
                <w:sz w:val="20"/>
                <w:szCs w:val="20"/>
              </w:rPr>
              <w:instrText xml:space="preserve"> NUMPAGES  </w:instrText>
            </w:r>
            <w:r>
              <w:rPr>
                <w:rFonts w:ascii="Arial" w:eastAsia="Times New Roman" w:hAnsi="Arial" w:cs="Times New Roman"/>
                <w:b/>
                <w:bCs/>
                <w:color w:val="auto"/>
                <w:szCs w:val="24"/>
              </w:rPr>
              <w:fldChar w:fldCharType="separate"/>
            </w:r>
            <w:r>
              <w:rPr>
                <w:rFonts w:ascii="Arial" w:eastAsia="Times New Roman" w:hAnsi="Arial" w:cs="Times New Roman"/>
                <w:b/>
                <w:bCs/>
                <w:color w:val="auto"/>
                <w:sz w:val="20"/>
                <w:szCs w:val="20"/>
              </w:rPr>
              <w:t>9</w:t>
            </w:r>
            <w:r>
              <w:rPr>
                <w:rFonts w:ascii="Arial" w:eastAsia="Times New Roman" w:hAnsi="Arial" w:cs="Times New Roman"/>
                <w:b/>
                <w:bCs/>
                <w:color w:val="auto"/>
                <w:szCs w:val="24"/>
              </w:rPr>
              <w:fldChar w:fldCharType="end"/>
            </w:r>
          </w:p>
        </w:sdtContent>
      </w:sdt>
    </w:sdtContent>
  </w:sdt>
  <w:p w:rsidR="00E30B82" w:rsidP="00E30B82" w14:paraId="6455F99A" w14:textId="37A6E6F8">
    <w:pPr>
      <w:tabs>
        <w:tab w:val="left" w:pos="8220"/>
      </w:tabs>
      <w:spacing w:before="240" w:after="240" w:line="240" w:lineRule="auto"/>
      <w:ind w:left="0" w:firstLine="0"/>
      <w:contextualSpacing/>
      <w:rPr>
        <w:rFonts w:ascii="Arial" w:eastAsia="Times New Roman" w:hAnsi="Arial" w:cs="Times New Roman"/>
        <w:color w:val="auto"/>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8CC" w14:paraId="480CCDDA" w14:textId="44DB8914">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377D" w14:paraId="6E5F7A05"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5A6F" w:rsidP="00865A6F" w14:paraId="10832EE3" w14:textId="77777777">
    <w:pPr>
      <w:tabs>
        <w:tab w:val="center" w:pos="4320"/>
        <w:tab w:val="right" w:pos="8640"/>
      </w:tabs>
      <w:spacing w:before="240" w:after="240" w:line="240" w:lineRule="auto"/>
      <w:ind w:left="0" w:firstLine="0"/>
      <w:contextualSpacing/>
      <w:rPr>
        <w:rFonts w:ascii="Arial" w:eastAsia="Times New Roman" w:hAnsi="Arial" w:cs="Times New Roman"/>
        <w:color w:val="auto"/>
        <w:sz w:val="20"/>
        <w:szCs w:val="20"/>
      </w:rPr>
    </w:pPr>
    <w:r>
      <w:rPr>
        <w:noProof/>
      </w:rPr>
      <w:drawing>
        <wp:inline distT="0" distB="0" distL="0" distR="0">
          <wp:extent cx="2914650" cy="408861"/>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xmlns:r="http://schemas.openxmlformats.org/officeDocument/2006/relationships" r:embed="rId1"/>
                  <a:stretch>
                    <a:fillRect/>
                  </a:stretch>
                </pic:blipFill>
                <pic:spPr>
                  <a:xfrm>
                    <a:off x="0" y="0"/>
                    <a:ext cx="3033640" cy="425553"/>
                  </a:xfrm>
                  <a:prstGeom prst="rect">
                    <a:avLst/>
                  </a:prstGeom>
                </pic:spPr>
              </pic:pic>
            </a:graphicData>
          </a:graphic>
        </wp:inline>
      </w:drawing>
    </w:r>
  </w:p>
  <w:p w:rsidR="00865A6F" w:rsidRPr="001B317C" w:rsidP="00865A6F" w14:paraId="13AA7B22" w14:textId="77777777">
    <w:pPr>
      <w:tabs>
        <w:tab w:val="center" w:pos="4320"/>
        <w:tab w:val="right" w:pos="8640"/>
      </w:tabs>
      <w:spacing w:before="240" w:after="240" w:line="240" w:lineRule="auto"/>
      <w:ind w:left="0" w:firstLine="0"/>
      <w:contextualSpacing/>
      <w:rPr>
        <w:rFonts w:ascii="Arial" w:eastAsia="Times New Roman" w:hAnsi="Arial" w:cs="Times New Roman"/>
        <w:b/>
        <w:color w:val="auto"/>
        <w:sz w:val="16"/>
        <w:szCs w:val="20"/>
      </w:rPr>
    </w:pPr>
  </w:p>
  <w:p w:rsidR="00865A6F" w:rsidRPr="00825DBD" w:rsidP="00865A6F" w14:paraId="0E427177" w14:textId="77777777">
    <w:pPr>
      <w:pBdr>
        <w:bottom w:val="single" w:sz="4" w:space="1" w:color="auto"/>
      </w:pBdr>
      <w:spacing w:before="240" w:after="240" w:line="240" w:lineRule="auto"/>
      <w:ind w:left="0" w:firstLine="0"/>
      <w:contextualSpacing/>
      <w:rPr>
        <w:rFonts w:ascii="Arial" w:eastAsia="Times New Roman" w:hAnsi="Arial" w:cs="Times New Roman"/>
        <w:b/>
        <w:color w:val="auto"/>
        <w:spacing w:val="-10"/>
        <w:kern w:val="28"/>
        <w:sz w:val="20"/>
        <w:szCs w:val="24"/>
      </w:rPr>
    </w:pPr>
    <w:r w:rsidRPr="00825DBD">
      <w:rPr>
        <w:rFonts w:ascii="Arial" w:hAnsi="Arial" w:eastAsiaTheme="majorEastAsia" w:cstheme="majorBidi"/>
        <w:b/>
        <w:color w:val="auto"/>
        <w:spacing w:val="-10"/>
        <w:kern w:val="28"/>
        <w:sz w:val="36"/>
        <w:szCs w:val="56"/>
      </w:rPr>
      <w:fldChar w:fldCharType="begin"/>
    </w:r>
    <w:r w:rsidRPr="00825DBD">
      <w:rPr>
        <w:rFonts w:ascii="Arial" w:hAnsi="Arial" w:eastAsiaTheme="majorEastAsia" w:cstheme="majorBidi"/>
        <w:b/>
        <w:color w:val="auto"/>
        <w:spacing w:val="-10"/>
        <w:kern w:val="28"/>
        <w:sz w:val="36"/>
        <w:szCs w:val="56"/>
      </w:rPr>
      <w:instrText xml:space="preserve"> DOCVARIABLE </w:instrText>
    </w:r>
    <w:r w:rsidRPr="00825DBD">
      <w:rPr>
        <w:rFonts w:ascii="Arial" w:hAnsi="Arial" w:eastAsiaTheme="majorEastAsia" w:cstheme="majorBidi"/>
        <w:b/>
        <w:color w:val="auto"/>
        <w:spacing w:val="-10"/>
        <w:kern w:val="28"/>
        <w:sz w:val="36"/>
        <w:szCs w:val="56"/>
      </w:rPr>
      <w:instrText>Document_Title</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instrText>MERGEFORMAT</w:instrText>
    </w:r>
    <w:r w:rsidRPr="00825DBD">
      <w:rPr>
        <w:rFonts w:ascii="Arial" w:hAnsi="Arial" w:eastAsiaTheme="majorEastAsia" w:cstheme="majorBidi"/>
        <w:b/>
        <w:color w:val="auto"/>
        <w:spacing w:val="-10"/>
        <w:kern w:val="28"/>
        <w:sz w:val="36"/>
        <w:szCs w:val="56"/>
      </w:rPr>
      <w:instrText xml:space="preserve"> </w:instrText>
    </w:r>
    <w:r w:rsidRPr="00825DBD">
      <w:rPr>
        <w:rFonts w:ascii="Arial" w:hAnsi="Arial" w:eastAsiaTheme="majorEastAsia" w:cstheme="majorBidi"/>
        <w:b/>
        <w:color w:val="auto"/>
        <w:spacing w:val="-10"/>
        <w:kern w:val="28"/>
        <w:sz w:val="36"/>
        <w:szCs w:val="56"/>
      </w:rPr>
      <w:fldChar w:fldCharType="separate"/>
    </w:r>
    <w:r w:rsidRPr="00825DBD">
      <w:rPr>
        <w:rFonts w:ascii="Arial" w:hAnsi="Arial" w:eastAsiaTheme="majorEastAsia" w:cstheme="majorBidi"/>
        <w:b/>
        <w:color w:val="auto"/>
        <w:spacing w:val="-10"/>
        <w:kern w:val="28"/>
        <w:sz w:val="36"/>
        <w:szCs w:val="56"/>
      </w:rPr>
      <w:t>Interactions between Clinical Personnel of Yale Medicine and Industry - Policy</w:t>
    </w:r>
    <w:r w:rsidRPr="00825DBD">
      <w:rPr>
        <w:rFonts w:ascii="Arial" w:hAnsi="Arial" w:eastAsiaTheme="majorEastAsia" w:cstheme="majorBidi"/>
        <w:b/>
        <w:color w:val="auto"/>
        <w:spacing w:val="-10"/>
        <w:kern w:val="28"/>
        <w:sz w:val="36"/>
        <w:szCs w:val="56"/>
      </w:rPr>
      <w:fldChar w:fldCharType="end"/>
    </w:r>
  </w:p>
  <w:p w:rsidR="00A44FD9" w:rsidP="00865A6F" w14:paraId="45F5373C" w14:textId="77777777">
    <w:pPr>
      <w:spacing w:before="240" w:after="240" w:line="240" w:lineRule="auto"/>
      <w:ind w:left="0" w:firstLine="0"/>
      <w:contextualSpacing/>
      <w:rPr>
        <w:rFonts w:ascii="Arial" w:eastAsia="Times New Roman" w:hAnsi="Arial" w:cs="Times New Roman"/>
        <w:b/>
        <w:bCs/>
        <w:color w:val="auto"/>
        <w:sz w:val="20"/>
        <w:szCs w:val="24"/>
      </w:rPr>
    </w:pPr>
  </w:p>
  <w:p w:rsidR="00865A6F" w:rsidRPr="00825DBD" w:rsidP="00865A6F" w14:paraId="260798DB" w14:textId="46A1BDA5">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Responsible Office: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WR_Department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MEDYMA YMA</w:t>
    </w:r>
    <w:r w:rsidRPr="00825DBD">
      <w:rPr>
        <w:rFonts w:ascii="Arial" w:eastAsia="Times New Roman" w:hAnsi="Arial" w:cs="Times New Roman"/>
        <w:color w:val="auto"/>
        <w:sz w:val="20"/>
        <w:szCs w:val="20"/>
      </w:rPr>
      <w:fldChar w:fldCharType="end"/>
    </w:r>
  </w:p>
  <w:p w:rsidR="00865A6F" w:rsidRPr="00825DBD" w:rsidP="00865A6F" w14:paraId="0C7FCCFF"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Responsible Official: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AP_Job_Title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YM Practice Standard Committee</w:t>
    </w:r>
    <w:r w:rsidRPr="00825DBD">
      <w:rPr>
        <w:rFonts w:ascii="Arial" w:eastAsia="Times New Roman" w:hAnsi="Arial" w:cs="Times New Roman"/>
        <w:color w:val="auto"/>
        <w:sz w:val="20"/>
        <w:szCs w:val="20"/>
      </w:rPr>
      <w:fldChar w:fldCharType="end"/>
    </w:r>
  </w:p>
  <w:p w:rsidR="00865A6F" w:rsidRPr="00825DBD" w:rsidP="00865A6F" w14:paraId="1DE81866" w14:textId="25D453F5">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Policy Sponsor:</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00A44FD9">
      <w:rPr>
        <w:rFonts w:ascii="Arial" w:eastAsia="Times New Roman" w:hAnsi="Arial" w:cs="Times New Roman"/>
        <w:color w:val="auto"/>
        <w:sz w:val="20"/>
        <w:szCs w:val="20"/>
      </w:rPr>
      <w:t>Babar Khokhar</w:t>
    </w:r>
  </w:p>
  <w:p w:rsidR="00865A6F" w:rsidRPr="00825DBD" w:rsidP="00865A6F" w14:paraId="6BFCB8A6" w14:textId="77777777">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Document Administrator:</w:t>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PO_Both</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Emily Kiesel (Project Manager, ACE)</w:t>
    </w:r>
    <w:r w:rsidRPr="00825DBD">
      <w:rPr>
        <w:rFonts w:ascii="Arial" w:eastAsia="Times New Roman" w:hAnsi="Arial" w:cs="Times New Roman"/>
        <w:color w:val="auto"/>
        <w:sz w:val="20"/>
        <w:szCs w:val="20"/>
      </w:rPr>
      <w:fldChar w:fldCharType="end"/>
    </w:r>
  </w:p>
  <w:p w:rsidR="00865A6F" w:rsidRPr="00825DBD" w:rsidP="00865A6F" w14:paraId="5944AFF7" w14:textId="77777777">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 xml:space="preserve">Date of Origin: </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color w:val="auto"/>
        <w:sz w:val="20"/>
        <w:szCs w:val="20"/>
      </w:rPr>
      <w:fldChar w:fldCharType="begin"/>
    </w:r>
    <w:r w:rsidRPr="00825DBD">
      <w:rPr>
        <w:rFonts w:ascii="Arial" w:eastAsia="Times New Roman" w:hAnsi="Arial" w:cs="Times New Roman"/>
        <w:color w:val="auto"/>
        <w:sz w:val="20"/>
        <w:szCs w:val="20"/>
      </w:rPr>
      <w:instrText xml:space="preserve"> DOCVARIABLE </w:instrText>
    </w:r>
    <w:r w:rsidRPr="00825DBD">
      <w:rPr>
        <w:rFonts w:ascii="Arial" w:eastAsia="Times New Roman" w:hAnsi="Arial" w:cs="Times New Roman"/>
        <w:color w:val="auto"/>
        <w:sz w:val="20"/>
        <w:szCs w:val="20"/>
      </w:rPr>
      <w:instrText>Original_Creation_Date</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instrText>MERGEFORMAT</w:instrText>
    </w:r>
    <w:r w:rsidRPr="00825DBD">
      <w:rPr>
        <w:rFonts w:ascii="Arial" w:eastAsia="Times New Roman" w:hAnsi="Arial" w:cs="Times New Roman"/>
        <w:color w:val="auto"/>
        <w:sz w:val="20"/>
        <w:szCs w:val="20"/>
      </w:rPr>
      <w:instrText xml:space="preserve"> </w:instrText>
    </w:r>
    <w:r w:rsidRPr="00825DBD">
      <w:rPr>
        <w:rFonts w:ascii="Arial" w:eastAsia="Times New Roman" w:hAnsi="Arial" w:cs="Times New Roman"/>
        <w:color w:val="auto"/>
        <w:sz w:val="20"/>
        <w:szCs w:val="20"/>
      </w:rPr>
      <w:fldChar w:fldCharType="separate"/>
    </w:r>
    <w:r w:rsidRPr="00825DBD">
      <w:rPr>
        <w:rFonts w:ascii="Arial" w:eastAsia="Times New Roman" w:hAnsi="Arial" w:cs="Times New Roman"/>
        <w:color w:val="auto"/>
        <w:sz w:val="20"/>
        <w:szCs w:val="20"/>
      </w:rPr>
      <w:t>09/01/2010</w:t>
    </w:r>
    <w:r w:rsidRPr="00825DBD">
      <w:rPr>
        <w:rFonts w:ascii="Arial" w:eastAsia="Times New Roman" w:hAnsi="Arial" w:cs="Times New Roman"/>
        <w:color w:val="auto"/>
        <w:sz w:val="20"/>
        <w:szCs w:val="20"/>
      </w:rPr>
      <w:fldChar w:fldCharType="end"/>
    </w:r>
  </w:p>
  <w:p w:rsidR="00865A6F" w:rsidRPr="00825DBD" w:rsidP="00865A6F" w14:paraId="3B1F73B8" w14:textId="13E1B402">
    <w:pPr>
      <w:spacing w:before="240" w:after="240" w:line="240" w:lineRule="auto"/>
      <w:ind w:left="0" w:firstLine="0"/>
      <w:contextualSpacing/>
      <w:rPr>
        <w:rFonts w:ascii="Arial" w:eastAsia="Times New Roman" w:hAnsi="Arial" w:cs="Times New Roman"/>
        <w:b/>
        <w:bCs/>
        <w:color w:val="auto"/>
        <w:sz w:val="20"/>
        <w:szCs w:val="24"/>
      </w:rPr>
    </w:pPr>
    <w:r w:rsidRPr="00825DBD">
      <w:rPr>
        <w:rFonts w:ascii="Arial" w:eastAsia="Times New Roman" w:hAnsi="Arial" w:cs="Times New Roman"/>
        <w:b/>
        <w:bCs/>
        <w:color w:val="auto"/>
        <w:sz w:val="20"/>
        <w:szCs w:val="24"/>
      </w:rPr>
      <w:t>Approval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00A44FD9">
      <w:rPr>
        <w:rFonts w:ascii="Arial" w:eastAsia="Times New Roman" w:hAnsi="Arial" w:cs="Times New Roman"/>
        <w:color w:val="auto"/>
        <w:sz w:val="20"/>
        <w:szCs w:val="20"/>
      </w:rPr>
      <w:t>05/01/2022</w:t>
    </w:r>
  </w:p>
  <w:p w:rsidR="002822D2" w:rsidRPr="00865A6F" w:rsidP="00865A6F" w14:paraId="688FB459" w14:textId="1473ED0C">
    <w:pPr>
      <w:spacing w:before="240" w:after="240" w:line="240" w:lineRule="auto"/>
      <w:ind w:left="0" w:firstLine="0"/>
      <w:contextualSpacing/>
      <w:rPr>
        <w:rFonts w:ascii="Arial" w:eastAsia="Times New Roman" w:hAnsi="Arial" w:cs="Times New Roman"/>
        <w:color w:val="auto"/>
        <w:sz w:val="20"/>
        <w:szCs w:val="24"/>
      </w:rPr>
    </w:pPr>
    <w:r w:rsidRPr="00825DBD">
      <w:rPr>
        <w:rFonts w:ascii="Arial" w:eastAsia="Times New Roman" w:hAnsi="Arial" w:cs="Times New Roman"/>
        <w:b/>
        <w:bCs/>
        <w:color w:val="auto"/>
        <w:sz w:val="20"/>
        <w:szCs w:val="24"/>
      </w:rPr>
      <w:t>Effective Date:</w:t>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Pr="00825DBD">
      <w:rPr>
        <w:rFonts w:ascii="Arial" w:eastAsia="Times New Roman" w:hAnsi="Arial" w:cs="Times New Roman"/>
        <w:b/>
        <w:bCs/>
        <w:color w:val="auto"/>
        <w:sz w:val="20"/>
        <w:szCs w:val="24"/>
      </w:rPr>
      <w:tab/>
    </w:r>
    <w:r w:rsidR="00A44FD9">
      <w:rPr>
        <w:rFonts w:ascii="Arial" w:eastAsia="Times New Roman" w:hAnsi="Arial" w:cs="Times New Roman"/>
        <w:color w:val="auto"/>
        <w:sz w:val="20"/>
        <w:szCs w:val="20"/>
      </w:rPr>
      <w:t>05/01/2022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0E3EB5"/>
    <w:multiLevelType w:val="hybridMultilevel"/>
    <w:tmpl w:val="AB1E0D32"/>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63280B"/>
    <w:multiLevelType w:val="hybridMultilevel"/>
    <w:tmpl w:val="CC16264C"/>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C96031C"/>
    <w:multiLevelType w:val="hybridMultilevel"/>
    <w:tmpl w:val="0130ED9C"/>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AD602D7"/>
    <w:multiLevelType w:val="hybridMultilevel"/>
    <w:tmpl w:val="30A69776"/>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C590BA4"/>
    <w:multiLevelType w:val="hybridMultilevel"/>
    <w:tmpl w:val="6F069DF4"/>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F35C2D"/>
    <w:multiLevelType w:val="hybridMultilevel"/>
    <w:tmpl w:val="F8209932"/>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7197C08"/>
    <w:multiLevelType w:val="hybridMultilevel"/>
    <w:tmpl w:val="3BA0D6BC"/>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8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Letter"/>
      <w:lvlRestart w:val="0"/>
      <w:lvlText w:val="%6."/>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16321C4"/>
    <w:multiLevelType w:val="hybridMultilevel"/>
    <w:tmpl w:val="0C102CE6"/>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8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7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3"/>
      <w:numFmt w:val="lowerLetter"/>
      <w:lvlRestart w:val="0"/>
      <w:lvlText w:val="%6."/>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1BC19CD"/>
    <w:multiLevelType w:val="hybridMultilevel"/>
    <w:tmpl w:val="10226552"/>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lowerLetter"/>
      <w:lvlRestart w:val="0"/>
      <w:lvlText w:val="%4."/>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3D57B21"/>
    <w:multiLevelType w:val="hybridMultilevel"/>
    <w:tmpl w:val="C5142748"/>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0B86949"/>
    <w:multiLevelType w:val="hybridMultilevel"/>
    <w:tmpl w:val="A316245E"/>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5F8E0BCD"/>
    <w:multiLevelType w:val="hybridMultilevel"/>
    <w:tmpl w:val="E4984AD6"/>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FAD0CBC"/>
    <w:multiLevelType w:val="hybridMultilevel"/>
    <w:tmpl w:val="51D0242E"/>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0275594"/>
    <w:multiLevelType w:val="hybridMultilevel"/>
    <w:tmpl w:val="B276D7B6"/>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695734C"/>
    <w:multiLevelType w:val="hybridMultilevel"/>
    <w:tmpl w:val="0BC85120"/>
    <w:lvl w:ilvl="0">
      <w:start w:val="1"/>
      <w:numFmt w:val="upperLetter"/>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2"/>
      <w:numFmt w:val="decimal"/>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76A26855"/>
    <w:multiLevelType w:val="hybridMultilevel"/>
    <w:tmpl w:val="B0345386"/>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DB30A3D"/>
    <w:multiLevelType w:val="hybridMultilevel"/>
    <w:tmpl w:val="0A769116"/>
    <w:lvl w:ilvl="0">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9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start w:val="1"/>
      <w:numFmt w:val="lowerLetter"/>
      <w:lvlRestart w:val="0"/>
      <w:lvlText w:val="%5."/>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2119838047">
    <w:abstractNumId w:val="14"/>
  </w:num>
  <w:num w:numId="2" w16cid:durableId="1548376908">
    <w:abstractNumId w:val="1"/>
  </w:num>
  <w:num w:numId="3" w16cid:durableId="982470779">
    <w:abstractNumId w:val="11"/>
  </w:num>
  <w:num w:numId="4" w16cid:durableId="1665429655">
    <w:abstractNumId w:val="4"/>
  </w:num>
  <w:num w:numId="5" w16cid:durableId="1466654831">
    <w:abstractNumId w:val="15"/>
  </w:num>
  <w:num w:numId="6" w16cid:durableId="1996645084">
    <w:abstractNumId w:val="13"/>
  </w:num>
  <w:num w:numId="7" w16cid:durableId="1123308359">
    <w:abstractNumId w:val="7"/>
  </w:num>
  <w:num w:numId="8" w16cid:durableId="1914460693">
    <w:abstractNumId w:val="2"/>
  </w:num>
  <w:num w:numId="9" w16cid:durableId="1998805449">
    <w:abstractNumId w:val="8"/>
  </w:num>
  <w:num w:numId="10" w16cid:durableId="1619410246">
    <w:abstractNumId w:val="10"/>
  </w:num>
  <w:num w:numId="11" w16cid:durableId="270473611">
    <w:abstractNumId w:val="16"/>
  </w:num>
  <w:num w:numId="12" w16cid:durableId="1684285946">
    <w:abstractNumId w:val="3"/>
  </w:num>
  <w:num w:numId="13" w16cid:durableId="190649947">
    <w:abstractNumId w:val="12"/>
  </w:num>
  <w:num w:numId="14" w16cid:durableId="992634981">
    <w:abstractNumId w:val="5"/>
  </w:num>
  <w:num w:numId="15" w16cid:durableId="1567379286">
    <w:abstractNumId w:val="6"/>
  </w:num>
  <w:num w:numId="16" w16cid:durableId="1436248714">
    <w:abstractNumId w:val="0"/>
  </w:num>
  <w:num w:numId="17" w16cid:durableId="2634180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163"/>
    <w:rsid w:val="000E411E"/>
    <w:rsid w:val="0015377D"/>
    <w:rsid w:val="001B317C"/>
    <w:rsid w:val="002822D2"/>
    <w:rsid w:val="00283282"/>
    <w:rsid w:val="002D442B"/>
    <w:rsid w:val="00323EFC"/>
    <w:rsid w:val="0050163C"/>
    <w:rsid w:val="00510ABC"/>
    <w:rsid w:val="00647741"/>
    <w:rsid w:val="00650C69"/>
    <w:rsid w:val="006635F7"/>
    <w:rsid w:val="00825DBD"/>
    <w:rsid w:val="00865A6F"/>
    <w:rsid w:val="00930163"/>
    <w:rsid w:val="00A44FD9"/>
    <w:rsid w:val="00B677B9"/>
    <w:rsid w:val="00C43999"/>
    <w:rsid w:val="00C64EB9"/>
    <w:rsid w:val="00CF7E94"/>
    <w:rsid w:val="00D06078"/>
    <w:rsid w:val="00DD38CC"/>
    <w:rsid w:val="00DE74D0"/>
    <w:rsid w:val="00E30B82"/>
    <w:rsid w:val="00EF6513"/>
  </w:rsids>
  <w:docVars>
    <w:docVar w:name="AP Job Title" w:val="YM Practice Standard Committee"/>
    <w:docVar w:name="AP_Job_Title" w:val="YM Practice Standard Committee"/>
    <w:docVar w:name="Date Approved" w:val="Not Set"/>
    <w:docVar w:name="Document Title" w:val="CLIN - Interactions between Clinical Personnel of Yale Medicine and Industry - Policy"/>
    <w:docVar w:name="Document_Title" w:val="Interactions between Clinical Personnel of Yale Medicine and Industry - Policy"/>
    <w:docVar w:name="Last Periodic Review Date" w:val="Not Set"/>
    <w:docVar w:name="Original Creation Date" w:val="09/01/2010"/>
    <w:docVar w:name="Original_Creation_Date" w:val="09/01/2010"/>
    <w:docVar w:name="PO Both" w:val="Julianna Maisano"/>
    <w:docVar w:name="PO_Both" w:val="Emily Kiesel (Project Manager, ACE)"/>
    <w:docVar w:name="WR Both" w:val="Julianna Maisano"/>
    <w:docVar w:name="WR Department" w:val="YM Practice Standard Committee"/>
    <w:docVar w:name="WR_Department" w:val="MEDYMA YMA"/>
    <w:docVar w:name="__Grammarly_42___1" w:val="H4sIAAAAAAAEAKtWcslP9kxRslIyNDY2MjC0sDAwNDEyMDYwMjZR0lEKTi0uzszPAykwrAUAN6lDP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583DA8"/>
  <w15:docId w15:val="{B297BA3F-B197-4E79-8A50-ACB0818B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4" w:line="271" w:lineRule="auto"/>
      <w:ind w:left="370" w:hanging="370"/>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7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741"/>
    <w:rPr>
      <w:rFonts w:ascii="Calibri" w:eastAsia="Calibri" w:hAnsi="Calibri" w:cs="Calibri"/>
      <w:color w:val="000000"/>
      <w:sz w:val="24"/>
    </w:rPr>
  </w:style>
  <w:style w:type="paragraph" w:styleId="Header">
    <w:name w:val="header"/>
    <w:basedOn w:val="Normal"/>
    <w:link w:val="HeaderChar"/>
    <w:rsid w:val="003D271F"/>
    <w:pPr>
      <w:tabs>
        <w:tab w:val="center" w:pos="4320"/>
        <w:tab w:val="right" w:pos="8640"/>
      </w:tabs>
      <w:spacing w:before="240" w:after="240" w:line="240" w:lineRule="auto"/>
      <w:ind w:left="0" w:firstLine="0"/>
      <w:contextualSpacing/>
    </w:pPr>
    <w:rPr>
      <w:rFonts w:ascii="Arial" w:eastAsia="Times New Roman" w:hAnsi="Arial" w:cs="Times New Roman"/>
      <w:color w:val="auto"/>
      <w:sz w:val="20"/>
      <w:szCs w:val="20"/>
    </w:rPr>
  </w:style>
  <w:style w:type="character" w:customStyle="1" w:styleId="HeaderChar">
    <w:name w:val="Header Char"/>
    <w:basedOn w:val="DefaultParagraphFont"/>
    <w:link w:val="Header"/>
    <w:rsid w:val="00865A6F"/>
    <w:rPr>
      <w:rFonts w:ascii="Arial" w:eastAsia="Times New Roman" w:hAnsi="Arial" w:cs="Times New Roman"/>
      <w:sz w:val="20"/>
      <w:szCs w:val="20"/>
    </w:rPr>
  </w:style>
  <w:style w:type="character" w:styleId="Hyperlink">
    <w:name w:val="Hyperlink"/>
    <w:basedOn w:val="DefaultParagraphFont"/>
    <w:uiPriority w:val="99"/>
    <w:rsid w:val="005832BD"/>
    <w:rPr>
      <w:color w:val="0563C1" w:themeColor="hyperlink"/>
      <w:u w:val="single"/>
    </w:rPr>
  </w:style>
  <w:style w:type="character" w:styleId="UnresolvedMention">
    <w:name w:val="Unresolved Mention"/>
    <w:basedOn w:val="DefaultParagraphFont"/>
    <w:uiPriority w:val="99"/>
    <w:semiHidden/>
    <w:unhideWhenUsed/>
    <w:rsid w:val="002832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your.yale.edu/policies-procedures/procedures/3201-pr01-purchase-requisition-process" TargetMode="External" /><Relationship Id="rId11" Type="http://schemas.openxmlformats.org/officeDocument/2006/relationships/hyperlink" Target="https://your.yale.edu/policies-procedures/other/standards-business-conduct" TargetMode="External" /><Relationship Id="rId12" Type="http://schemas.openxmlformats.org/officeDocument/2006/relationships/hyperlink" Target="https://your.yale.edu/policies-procedures/other/yale-university-institutional-standards-conduct%20" TargetMode="External" /><Relationship Id="rId13" Type="http://schemas.openxmlformats.org/officeDocument/2006/relationships/hyperlink" Target="https://your.yale.edu/research-support/conflict-interest/coi-policies-procedures" TargetMode="External" /><Relationship Id="rId14" Type="http://schemas.openxmlformats.org/officeDocument/2006/relationships/hyperlink" Target="https://your.yale.edu/research-support/conflict-interest/coi-policies-procedures" TargetMode="External" /><Relationship Id="rId15" Type="http://schemas.openxmlformats.org/officeDocument/2006/relationships/hyperlink" Target="https://your.yale.edu/research-support/conflict-interest/coi-policies-procedures" TargetMode="External" /><Relationship Id="rId16" Type="http://schemas.openxmlformats.org/officeDocument/2006/relationships/hyperlink" Target="https://your.yale.edu/research-support/conflict-interest/coi-policies-procedures" TargetMode="External" /><Relationship Id="rId17" Type="http://schemas.openxmlformats.org/officeDocument/2006/relationships/hyperlink" Target="https://your.yale.edu/research-support/conflict-interest/coi-policies-procedures" TargetMode="External" /><Relationship Id="rId18" Type="http://schemas.openxmlformats.org/officeDocument/2006/relationships/hyperlink" Target="https://your.yale.edu/research-support/conflict-interest/coi-policies-procedures" TargetMode="External" /><Relationship Id="rId19" Type="http://schemas.openxmlformats.org/officeDocument/2006/relationships/hyperlink" Target="https://your.yale.edu/research-support/conflict-interest/coi-policies-procedures" TargetMode="External" /><Relationship Id="rId2" Type="http://schemas.openxmlformats.org/officeDocument/2006/relationships/webSettings" Target="webSettings.xml" /><Relationship Id="rId20" Type="http://schemas.openxmlformats.org/officeDocument/2006/relationships/hyperlink" Target="https://your.yale.edu/research-support/conflict-interest/coi-policies-procedures" TargetMode="External" /><Relationship Id="rId21" Type="http://schemas.openxmlformats.org/officeDocument/2006/relationships/hyperlink" Target="https://your.yale.edu/research-support/conflict-interest/coi-policies-procedures" TargetMode="External" /><Relationship Id="rId22" Type="http://schemas.openxmlformats.org/officeDocument/2006/relationships/hyperlink" Target="https://your.yale.edu/research-support/conflict-interest/coi-policies-procedures" TargetMode="External" /><Relationship Id="rId23" Type="http://schemas.openxmlformats.org/officeDocument/2006/relationships/hyperlink" Target="http://www.accme.org/" TargetMode="External" /><Relationship Id="rId24" Type="http://schemas.openxmlformats.org/officeDocument/2006/relationships/hyperlink" Target="http://www.accme.org/" TargetMode="External" /><Relationship Id="rId25" Type="http://schemas.openxmlformats.org/officeDocument/2006/relationships/hyperlink" Target="http://www.accme.org/" TargetMode="External" /><Relationship Id="rId26" Type="http://schemas.openxmlformats.org/officeDocument/2006/relationships/hyperlink" Target="https://your.yale.edu/research-support/conflict-interest/coi-policies-procedures" TargetMode="External" /><Relationship Id="rId27" Type="http://schemas.openxmlformats.org/officeDocument/2006/relationships/hyperlink" Target="https://your.yale.edu/research-support/conflict-interest/coi-policies-procedures" TargetMode="External" /><Relationship Id="rId28" Type="http://schemas.openxmlformats.org/officeDocument/2006/relationships/hyperlink" Target="https://your.yale.edu/research-support/conflict-interest/coi-policies-procedures" TargetMode="External" /><Relationship Id="rId29" Type="http://schemas.openxmlformats.org/officeDocument/2006/relationships/hyperlink" Target="https://your.yale.edu/research-support/conflict-interest/coi-policies-procedures" TargetMode="External" /><Relationship Id="rId3" Type="http://schemas.openxmlformats.org/officeDocument/2006/relationships/fontTable" Target="fontTable.xml" /><Relationship Id="rId30" Type="http://schemas.openxmlformats.org/officeDocument/2006/relationships/hyperlink" Target="https://your.yale.edu/research-support/conflict-interest/coi-policies-procedures" TargetMode="External" /><Relationship Id="rId31" Type="http://schemas.openxmlformats.org/officeDocument/2006/relationships/hyperlink" Target="https://your.yale.edu/research-support/conflict-interest/coi-policies-procedures" TargetMode="External" /><Relationship Id="rId32" Type="http://schemas.openxmlformats.org/officeDocument/2006/relationships/hyperlink" Target="https://your.yale.edu/research-support/conflict-interest/coi-policies-procedures" TargetMode="External" /><Relationship Id="rId33" Type="http://schemas.openxmlformats.org/officeDocument/2006/relationships/hyperlink" Target="https://your.yale.edu/research-support/conflict-interest/coi-policies-procedures" TargetMode="External" /><Relationship Id="rId34" Type="http://schemas.openxmlformats.org/officeDocument/2006/relationships/hyperlink" Target="https://your.yale.edu/research-support/conflict-interest/coi-policies-procedures" TargetMode="External" /><Relationship Id="rId35" Type="http://schemas.openxmlformats.org/officeDocument/2006/relationships/hyperlink" Target="https://your.yale.edu/research-support/conflict-interest/coi-policies-procedures" TargetMode="External" /><Relationship Id="rId36" Type="http://schemas.openxmlformats.org/officeDocument/2006/relationships/hyperlink" Target="https://your.yale.edu/research-support/conflict-interest/coi-policies-procedures" TargetMode="External" /><Relationship Id="rId37" Type="http://schemas.openxmlformats.org/officeDocument/2006/relationships/hyperlink" Target="https://your.yale.edu/research-support/conflict-interest/coi-policies-procedures" TargetMode="External" /><Relationship Id="rId38" Type="http://schemas.openxmlformats.org/officeDocument/2006/relationships/hyperlink" Target="https://your.yale.edu/research-support/conflict-interest/coi-policies-procedures" TargetMode="External" /><Relationship Id="rId39" Type="http://schemas.openxmlformats.org/officeDocument/2006/relationships/hyperlink" Target="https://your.yale.edu/research-support/conflict-interest/coi-policies-procedures" TargetMode="External" /><Relationship Id="rId4" Type="http://schemas.openxmlformats.org/officeDocument/2006/relationships/customXml" Target="../customXml/item1.xml" /><Relationship Id="rId40" Type="http://schemas.openxmlformats.org/officeDocument/2006/relationships/hyperlink" Target="https://your.yale.edu/research-support/conflict-interest/coi-policies-procedures" TargetMode="External" /><Relationship Id="rId41" Type="http://schemas.openxmlformats.org/officeDocument/2006/relationships/hyperlink" Target="https://your.yale.edu/research-support/conflict-interest/coi-policies-procedures" TargetMode="External" /><Relationship Id="rId42" Type="http://schemas.openxmlformats.org/officeDocument/2006/relationships/hyperlink" Target="https://your.yale.edu/research-support/conflict-interest/coi-policies-procedures" TargetMode="External" /><Relationship Id="rId43" Type="http://schemas.openxmlformats.org/officeDocument/2006/relationships/hyperlink" Target="https://your.yale.edu/research-support/conflict-interest/coi-policies-procedures" TargetMode="External" /><Relationship Id="rId44" Type="http://schemas.openxmlformats.org/officeDocument/2006/relationships/hyperlink" Target="https://your.yale.edu/research-support/conflict-interest/coi-policies-procedures" TargetMode="External" /><Relationship Id="rId45" Type="http://schemas.openxmlformats.org/officeDocument/2006/relationships/hyperlink" Target="https://your.yale.edu/research-support/conflict-interest/coi-policies-procedures" TargetMode="External" /><Relationship Id="rId46" Type="http://schemas.openxmlformats.org/officeDocument/2006/relationships/hyperlink" Target="http://www.icmje.org/recommendations/browse/roles-and-responsibilities/author-responsibilities--conflicts-of-interest.html" TargetMode="External" /><Relationship Id="rId47" Type="http://schemas.openxmlformats.org/officeDocument/2006/relationships/hyperlink" Target="http://www.icmje.org/recommendations/browse/roles-and-responsibilities/author-responsibilities--conflicts-of-interest.html" TargetMode="External" /><Relationship Id="rId48" Type="http://schemas.openxmlformats.org/officeDocument/2006/relationships/hyperlink" Target="http://www.icmje.org/recommendations/browse/roles-and-responsibilities/author-responsibilities--conflicts-of-interest.html" TargetMode="External" /><Relationship Id="rId49" Type="http://schemas.openxmlformats.org/officeDocument/2006/relationships/hyperlink" Target="http://www.icmje.org/recommendations/browse/roles-and-responsibilities/author-responsibilities--conflicts-of-interest.html" TargetMode="External" /><Relationship Id="rId5" Type="http://schemas.openxmlformats.org/officeDocument/2006/relationships/customXml" Target="../customXml/item2.xml" /><Relationship Id="rId50" Type="http://schemas.openxmlformats.org/officeDocument/2006/relationships/hyperlink" Target="http://www.icmje.org/recommendations/browse/roles-and-responsibilities/author-responsibilities--conflicts-of-interest.html" TargetMode="External" /><Relationship Id="rId51" Type="http://schemas.openxmlformats.org/officeDocument/2006/relationships/hyperlink" Target="http://www.icmje.org/recommendations/browse/roles-and-responsibilities/author-responsibilities--conflicts-of-interest.html" TargetMode="External" /><Relationship Id="rId52" Type="http://schemas.openxmlformats.org/officeDocument/2006/relationships/hyperlink" Target="http://www.icmje.org/recommendations/browse/roles-and-responsibilities/author-responsibilities--conflicts-of-interest.html" TargetMode="External" /><Relationship Id="rId53" Type="http://schemas.openxmlformats.org/officeDocument/2006/relationships/hyperlink" Target="http://www.icmje.org/recommendations/browse/roles-and-responsibilities/author-responsibilities--conflicts-of-interest.html" TargetMode="External" /><Relationship Id="rId54" Type="http://schemas.openxmlformats.org/officeDocument/2006/relationships/hyperlink" Target="http://www.icmje.org/recommendations/browse/roles-and-responsibilities/author-responsibilities--conflicts-of-interest.html" TargetMode="External" /><Relationship Id="rId55" Type="http://schemas.openxmlformats.org/officeDocument/2006/relationships/hyperlink" Target="http://www.icmje.org/recommendations/browse/roles-and-responsibilities/author-responsibilities--conflicts-of-interest.html" TargetMode="External" /><Relationship Id="rId56" Type="http://schemas.openxmlformats.org/officeDocument/2006/relationships/hyperlink" Target="http://www.icmje.org/recommendations/browse/roles-and-responsibilities/author-responsibilities--conflicts-of-interest.html" TargetMode="External" /><Relationship Id="rId57" Type="http://schemas.openxmlformats.org/officeDocument/2006/relationships/hyperlink" Target="http://www.icmje.org/recommendations/browse/roles-and-responsibilities/author-responsibilities--conflicts-of-interest.html" TargetMode="External" /><Relationship Id="rId58" Type="http://schemas.openxmlformats.org/officeDocument/2006/relationships/hyperlink" Target="http://www.icmje.org/recommendations/browse/roles-and-responsibilities/author-responsibilities--conflicts-of-interest.html" TargetMode="External" /><Relationship Id="rId59" Type="http://schemas.openxmlformats.org/officeDocument/2006/relationships/hyperlink" Target="http://www.icmje.org/recommendations/browse/roles-and-responsibilities/author-responsibilities--conflicts-of-interest.html" TargetMode="External" /><Relationship Id="rId6" Type="http://schemas.openxmlformats.org/officeDocument/2006/relationships/customXml" Target="../customXml/item3.xml" /><Relationship Id="rId60" Type="http://schemas.openxmlformats.org/officeDocument/2006/relationships/hyperlink" Target="https://openpaymentsdata.cms.gov/search" TargetMode="External" /><Relationship Id="rId61" Type="http://schemas.openxmlformats.org/officeDocument/2006/relationships/hyperlink" Target="https://openpaymentsdata.cms.gov/search" TargetMode="External" /><Relationship Id="rId62" Type="http://schemas.openxmlformats.org/officeDocument/2006/relationships/header" Target="header1.xml" /><Relationship Id="rId63" Type="http://schemas.openxmlformats.org/officeDocument/2006/relationships/header" Target="header2.xml" /><Relationship Id="rId64" Type="http://schemas.openxmlformats.org/officeDocument/2006/relationships/footer" Target="footer1.xml" /><Relationship Id="rId65" Type="http://schemas.openxmlformats.org/officeDocument/2006/relationships/header" Target="header3.xml" /><Relationship Id="rId66" Type="http://schemas.openxmlformats.org/officeDocument/2006/relationships/footer" Target="footer2.xml" /><Relationship Id="rId67" Type="http://schemas.openxmlformats.org/officeDocument/2006/relationships/theme" Target="theme/theme1.xml" /><Relationship Id="rId68" Type="http://schemas.openxmlformats.org/officeDocument/2006/relationships/numbering" Target="numbering.xml" /><Relationship Id="rId69" Type="http://schemas.openxmlformats.org/officeDocument/2006/relationships/styles" Target="styles.xml" /><Relationship Id="rId7" Type="http://schemas.openxmlformats.org/officeDocument/2006/relationships/hyperlink" Target="https://your.yale.edu/research-support/conflict-interest-office" TargetMode="External" /><Relationship Id="rId8" Type="http://schemas.openxmlformats.org/officeDocument/2006/relationships/hyperlink" Target="https://your.yale.edu/research-support/conflict-interest-office/policies-procedures-guidance" TargetMode="External" /><Relationship Id="rId9" Type="http://schemas.openxmlformats.org/officeDocument/2006/relationships/hyperlink" Target="https://your.yale.edu/policies-procedures/policies/2201-gifts-external-parties-employe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AC489-DAB4-4DA2-9DCF-14CF7E8674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C074E8-5055-4F6D-B5E0-589792DAD0E7}">
  <ds:schemaRefs>
    <ds:schemaRef ds:uri="http://schemas.microsoft.com/sharepoint/v3/contenttype/forms"/>
  </ds:schemaRefs>
</ds:datastoreItem>
</file>

<file path=customXml/itemProps3.xml><?xml version="1.0" encoding="utf-8"?>
<ds:datastoreItem xmlns:ds="http://schemas.openxmlformats.org/officeDocument/2006/customXml" ds:itemID="{5AF499A0-9F1D-46B0-A5CF-640F78DE33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9</Pages>
  <Words>4176</Words>
  <Characters>23804</Characters>
  <Application>Microsoft Office Word</Application>
  <DocSecurity>0</DocSecurity>
  <Lines>198</Lines>
  <Paragraphs>55</Paragraphs>
  <ScaleCrop>false</ScaleCrop>
  <Company/>
  <LinksUpToDate>false</LinksUpToDate>
  <CharactersWithSpaces>27925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 Communication</dc:title>
  <dc:creator>Broadwater, Deborah</dc:creator>
  <cp:lastModifiedBy>Maisano, Julianna</cp:lastModifiedBy>
  <cp:revision>9</cp:revision>
  <dcterms:created xsi:type="dcterms:W3CDTF">2023-02-06T20:13:00Z</dcterms:created>
  <dcterms:modified xsi:type="dcterms:W3CDTF">2023-06-01T19:24:00Z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