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61E00AA" w14:textId="77777777">
      <w:pPr>
        <w:pStyle w:val="SectionHeading"/>
        <w:rPr>
          <w:color w:val="17365D" w:themeColor="text2" w:themeShade="BF"/>
        </w:rPr>
      </w:pPr>
      <w:r w:rsidRPr="00EC53A3">
        <w:rPr>
          <w:color w:val="17365D" w:themeColor="text2" w:themeShade="BF"/>
        </w:rPr>
        <w:t>Scope</w:t>
      </w:r>
    </w:p>
    <w:p w:rsidR="00EB68DD" w:rsidRPr="00EB68DD" w:rsidP="00EB68DD" w14:paraId="50A2F18E" w14:textId="4620E257">
      <w:r w:rsidRPr="00EB68DD">
        <w:t>This policy covers the use of faculty commitments greater than $50,000 and the practice of “pre-funding” faculty accounts from chair-controlled funds.</w:t>
      </w:r>
    </w:p>
    <w:p w:rsidR="007D39A2" w:rsidRPr="00EC53A3" w:rsidP="00003662" w14:paraId="3971C2F7" w14:textId="77777777">
      <w:pPr>
        <w:pStyle w:val="SectionHeading"/>
        <w:rPr>
          <w:color w:val="17365D" w:themeColor="text2" w:themeShade="BF"/>
        </w:rPr>
      </w:pPr>
      <w:r w:rsidRPr="00EC53A3">
        <w:rPr>
          <w:color w:val="17365D" w:themeColor="text2" w:themeShade="BF"/>
        </w:rPr>
        <w:t>Reason for the Policy</w:t>
      </w:r>
    </w:p>
    <w:p w:rsidR="00EB68DD" w:rsidRPr="00EB68DD" w:rsidP="00EB68DD" w14:paraId="4BBFD6AF" w14:textId="0E31D93A">
      <w:pPr>
        <w:tabs>
          <w:tab w:val="left" w:pos="6645"/>
        </w:tabs>
      </w:pPr>
      <w:r w:rsidRPr="00EB68DD">
        <w:t xml:space="preserve">To reflect accurate financials for chair-controlled funds versus </w:t>
      </w:r>
      <w:r w:rsidRPr="00EB68DD">
        <w:t>faculty-controlled funds, all Yale School of Medicine (YSM) departments must treat department specific commitments to faculty in the same manner as Dean’s Academic Program Support by funding commitments on an annual basis based on actual expenses.</w:t>
      </w:r>
    </w:p>
    <w:p w:rsidR="00271F83" w:rsidRPr="00EC53A3" w:rsidP="00003662" w14:paraId="36A7D893" w14:textId="77777777">
      <w:pPr>
        <w:pStyle w:val="SectionHeading"/>
        <w:rPr>
          <w:color w:val="17365D" w:themeColor="text2" w:themeShade="BF"/>
        </w:rPr>
      </w:pPr>
      <w:r w:rsidRPr="00EC53A3">
        <w:rPr>
          <w:color w:val="17365D" w:themeColor="text2" w:themeShade="BF"/>
        </w:rPr>
        <w:t>Definitions</w:t>
      </w:r>
    </w:p>
    <w:p w:rsidR="00EB68DD" w:rsidP="00EB68DD" w14:paraId="6C9D8E8C" w14:textId="77777777">
      <w:pPr>
        <w:pStyle w:val="BodyText"/>
        <w:rPr>
          <w:b/>
          <w:bCs/>
        </w:rPr>
      </w:pPr>
      <w:bookmarkStart w:id="0" w:name="_Toc425171621"/>
      <w:r>
        <w:rPr>
          <w:b/>
          <w:bCs/>
        </w:rPr>
        <w:t>Chair-Controlled</w:t>
      </w:r>
    </w:p>
    <w:p w:rsidR="00EB68DD" w:rsidP="00EB68DD" w14:paraId="785E4AF1" w14:textId="3FE3E4AA">
      <w:pPr>
        <w:pStyle w:val="BodyText"/>
        <w:rPr>
          <w:b/>
          <w:bCs/>
        </w:rPr>
      </w:pPr>
      <w:r>
        <w:t xml:space="preserve">Funds controlled by the chair, allows the department to see balances for which the chair is responsible.  See the </w:t>
      </w:r>
      <w:hyperlink r:id="rId10" w:history="1">
        <w:r>
          <w:rPr>
            <w:rStyle w:val="Hyperlink"/>
          </w:rPr>
          <w:t>YSM Balance Classification - Reference</w:t>
        </w:r>
      </w:hyperlink>
      <w:r>
        <w:t xml:space="preserve"> </w:t>
      </w:r>
      <w:r>
        <w:t xml:space="preserve"> for specific funding sources.</w:t>
      </w:r>
    </w:p>
    <w:p w:rsidR="00EB68DD" w:rsidP="00EB68DD" w14:paraId="546E0632" w14:textId="77777777">
      <w:pPr>
        <w:pStyle w:val="BodyText"/>
      </w:pPr>
    </w:p>
    <w:p w:rsidR="00EB68DD" w:rsidP="00EB68DD" w14:paraId="3390A05A" w14:textId="77777777">
      <w:pPr>
        <w:pStyle w:val="BodyText"/>
      </w:pPr>
      <w:r>
        <w:rPr>
          <w:b/>
          <w:bCs/>
        </w:rPr>
        <w:t>Faculty-Controlled</w:t>
      </w:r>
    </w:p>
    <w:p w:rsidR="00EB68DD" w:rsidP="00EB68DD" w14:paraId="1BF095BE" w14:textId="28DE979A">
      <w:pPr>
        <w:pStyle w:val="BodyText"/>
      </w:pPr>
      <w:r>
        <w:t xml:space="preserve">Funds controlled by an individual faculty member, allows the department to see balances for which the faculty member is responsible. See the </w:t>
      </w:r>
      <w:hyperlink r:id="rId11" w:history="1">
        <w:r>
          <w:rPr>
            <w:rStyle w:val="Hyperlink"/>
          </w:rPr>
          <w:t>YSM Balance Classification - Reference</w:t>
        </w:r>
      </w:hyperlink>
      <w:r>
        <w:t xml:space="preserve"> </w:t>
      </w:r>
      <w:r>
        <w:t xml:space="preserve"> for specific funding sources.</w:t>
      </w:r>
    </w:p>
    <w:p w:rsidR="00EB68DD" w:rsidP="00EB68DD" w14:paraId="77AD4AE0" w14:textId="77777777">
      <w:pPr>
        <w:pStyle w:val="BodyText"/>
      </w:pPr>
    </w:p>
    <w:p w:rsidR="00EB68DD" w:rsidP="00EB68DD" w14:paraId="3E4BF0B4" w14:textId="77777777">
      <w:pPr>
        <w:pStyle w:val="BodyText"/>
        <w:rPr>
          <w:b/>
          <w:bCs/>
        </w:rPr>
      </w:pPr>
      <w:r>
        <w:rPr>
          <w:b/>
          <w:bCs/>
        </w:rPr>
        <w:t>Pre-Funding</w:t>
      </w:r>
    </w:p>
    <w:p w:rsidR="007D358A" w:rsidP="00EB68DD" w14:paraId="7771DFE5" w14:textId="025DEEC7">
      <w:pPr>
        <w:pStyle w:val="BodyText"/>
      </w:pPr>
      <w:r>
        <w:t>Moving the entirety of a faculty commitment to a faculty member’s assignee in the general ledger.</w:t>
      </w:r>
    </w:p>
    <w:p w:rsidR="00EB68DD" w:rsidRPr="00EB68DD" w:rsidP="00EB68DD" w14:paraId="10F5B90D" w14:textId="77777777">
      <w:pPr>
        <w:pStyle w:val="BodyText"/>
      </w:pPr>
    </w:p>
    <w:p w:rsidR="001B7499" w:rsidRPr="00EC53A3" w:rsidP="00003662" w14:paraId="10836C96"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EB68DD" w:rsidP="00EB68DD" w14:paraId="66AC6007" w14:textId="77777777">
      <w:pPr>
        <w:pStyle w:val="1-PolicySectionlevel"/>
        <w:numPr>
          <w:ilvl w:val="0"/>
          <w:numId w:val="16"/>
        </w:numPr>
      </w:pPr>
      <w:r>
        <w:t>Funding Faculty Commitments</w:t>
      </w:r>
    </w:p>
    <w:p w:rsidR="00EB68DD" w:rsidP="00EB68DD" w14:paraId="5AD19230" w14:textId="142182A9">
      <w:pPr>
        <w:ind w:left="360"/>
      </w:pPr>
      <w:bookmarkStart w:id="4" w:name="_Toc425171623"/>
      <w:r>
        <w:t>YSM departments are prohibited from “pre-funding” department commitments over a multi-year period for those commitments greater than $50,000.  Commitments shall be funded on an annual basis as a reimbursement of actual expenses.</w:t>
      </w:r>
      <w:bookmarkEnd w:id="4"/>
    </w:p>
    <w:p w:rsidR="00EB68DD" w:rsidP="00EB68DD" w14:paraId="34E22457" w14:textId="77777777">
      <w:pPr>
        <w:pStyle w:val="1-PolicySectionlevel"/>
        <w:numPr>
          <w:ilvl w:val="0"/>
          <w:numId w:val="16"/>
        </w:numPr>
      </w:pPr>
      <w:r>
        <w:t xml:space="preserve">Monitoring </w:t>
      </w:r>
    </w:p>
    <w:p w:rsidR="00EB68DD" w:rsidP="00EB68DD" w14:paraId="1D4ED0A5" w14:textId="649E5CD1">
      <w:pPr>
        <w:pStyle w:val="2-PolicySectionLevel"/>
        <w:numPr>
          <w:ilvl w:val="0"/>
          <w:numId w:val="0"/>
        </w:numPr>
        <w:ind w:left="360"/>
      </w:pPr>
      <w:r>
        <w:t>The YSM Budget office monitors fluctuations 10% or greater in chair versus faculty balances during the Q2 forecasting and annual budget processes.  During year end, the YSM Controller’s office will reach out directly to any departments to discuss any changes 10% or greater.</w:t>
      </w:r>
    </w:p>
    <w:p w:rsidR="00EB68DD" w:rsidP="00EB68DD" w14:paraId="73A716BD" w14:textId="77777777">
      <w:pPr>
        <w:pStyle w:val="1-PolicySectionlevel"/>
        <w:numPr>
          <w:ilvl w:val="0"/>
          <w:numId w:val="16"/>
        </w:numPr>
      </w:pPr>
      <w:r>
        <w:t>Non-Compliance</w:t>
      </w:r>
    </w:p>
    <w:p w:rsidR="00EB68DD" w:rsidP="00EB68DD" w14:paraId="6C2057D4" w14:textId="77777777">
      <w:pPr>
        <w:ind w:left="360"/>
      </w:pPr>
      <w:r>
        <w:t xml:space="preserve">If departments are found to be in non-compliance with this policy, the matter will be escalated to the </w:t>
      </w:r>
      <w:r>
        <w:t>Deputy Dean Finance and Administration for review.</w:t>
      </w:r>
    </w:p>
    <w:p w:rsidR="009315D0" w:rsidP="009315D0" w14:paraId="12FBE0F2" w14:textId="77777777">
      <w:pPr>
        <w:pStyle w:val="policysectiontext0"/>
        <w:spacing w:before="120" w:beforeAutospacing="0" w:after="120" w:afterAutospacing="0"/>
        <w:rPr>
          <w:rFonts w:ascii="Arial" w:hAnsi="Arial" w:cs="Arial"/>
          <w:sz w:val="20"/>
          <w:szCs w:val="20"/>
        </w:rPr>
      </w:pPr>
    </w:p>
    <w:p w:rsidR="00EB4DAD" w:rsidRPr="00EC53A3" w:rsidP="00003662" w14:paraId="63F161A7" w14:textId="77777777">
      <w:pPr>
        <w:pStyle w:val="SectionHeading"/>
        <w:rPr>
          <w:color w:val="17365D" w:themeColor="text2" w:themeShade="BF"/>
          <w:sz w:val="20"/>
        </w:rPr>
      </w:pPr>
      <w:r w:rsidRPr="00EC53A3">
        <w:rPr>
          <w:color w:val="17365D" w:themeColor="text2" w:themeShade="BF"/>
        </w:rPr>
        <w:t>Special Situations &amp; Exceptions</w:t>
      </w:r>
    </w:p>
    <w:p w:rsidR="00D64C00" w:rsidRPr="00EB68DD" w:rsidP="00D64C00" w14:paraId="3E3C3748" w14:textId="3119B926">
      <w:pPr>
        <w:rPr>
          <w:rFonts w:cs="Arial"/>
          <w:color w:val="000000"/>
          <w:shd w:val="clear" w:color="auto" w:fill="FFFFFF"/>
        </w:rPr>
      </w:pPr>
      <w:r w:rsidRPr="00EB68DD">
        <w:rPr>
          <w:rFonts w:cs="Arial"/>
          <w:color w:val="000000"/>
          <w:shd w:val="clear" w:color="auto" w:fill="FFFFFF"/>
        </w:rPr>
        <w:t xml:space="preserve">Exceptions to this policy must be documented using the </w:t>
      </w:r>
      <w:hyperlink r:id="rId12" w:history="1">
        <w:r w:rsidRPr="00EB68DD">
          <w:rPr>
            <w:rStyle w:val="Hyperlink"/>
            <w:rFonts w:cs="Arial"/>
            <w:shd w:val="clear" w:color="auto" w:fill="FFFFFF"/>
          </w:rPr>
          <w:t>YSM Policy/ Procedure/ Guideline Exception Request - Form</w:t>
        </w:r>
      </w:hyperlink>
      <w:r w:rsidRPr="00EB68DD">
        <w:rPr>
          <w:rFonts w:cs="Arial"/>
          <w:color w:val="000000"/>
          <w:shd w:val="clear" w:color="auto" w:fill="FFFFFF"/>
        </w:rPr>
        <w:t xml:space="preserve"> and presented to </w:t>
      </w:r>
      <w:hyperlink r:id="rId13" w:history="1">
        <w:r w:rsidRPr="00EB68DD">
          <w:rPr>
            <w:rStyle w:val="Hyperlink"/>
            <w:rFonts w:cs="Arial"/>
            <w:shd w:val="clear" w:color="auto" w:fill="FFFFFF"/>
          </w:rPr>
          <w:t>ysmcontroller@yale.edu</w:t>
        </w:r>
      </w:hyperlink>
      <w:r w:rsidRPr="00EB68DD">
        <w:rPr>
          <w:rFonts w:cs="Arial"/>
          <w:color w:val="000000"/>
          <w:shd w:val="clear" w:color="auto" w:fill="FFFFFF"/>
        </w:rPr>
        <w:t xml:space="preserve">. </w:t>
      </w:r>
    </w:p>
    <w:p w:rsidR="009315D0" w:rsidRPr="00EC53A3" w:rsidP="00003662" w14:paraId="2721A96A"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EB68DD" w:rsidP="00EB68DD" w14:paraId="04B9109F" w14:textId="77777777">
      <w:pPr>
        <w:rPr>
          <w:rStyle w:val="Strong"/>
          <w:rFonts w:cs="Arial"/>
        </w:rPr>
      </w:pPr>
      <w:r>
        <w:rPr>
          <w:rFonts w:cs="Arial"/>
          <w:b/>
          <w:bCs/>
        </w:rPr>
        <w:t xml:space="preserve">YSM Controller’s Office </w:t>
      </w:r>
    </w:p>
    <w:p w:rsidR="00EB68DD" w:rsidP="00EB68DD" w14:paraId="4ABF51EB" w14:textId="77777777">
      <w:pPr>
        <w:pStyle w:val="NormalWeb"/>
        <w:numPr>
          <w:ilvl w:val="0"/>
          <w:numId w:val="17"/>
        </w:numPr>
        <w:spacing w:before="120" w:beforeAutospacing="0" w:after="120" w:afterAutospacing="0"/>
        <w:rPr>
          <w:rStyle w:val="Strong"/>
          <w:rFonts w:ascii="Arial" w:hAnsi="Arial" w:cs="Arial"/>
          <w:b w:val="0"/>
          <w:sz w:val="20"/>
          <w:szCs w:val="20"/>
        </w:rPr>
      </w:pPr>
      <w:r>
        <w:rPr>
          <w:rFonts w:ascii="Arial" w:hAnsi="Arial" w:cs="Arial"/>
          <w:bCs/>
          <w:sz w:val="20"/>
          <w:szCs w:val="20"/>
        </w:rPr>
        <w:t xml:space="preserve">Interprets policy, provides guidance, grants exceptions </w:t>
      </w:r>
    </w:p>
    <w:p w:rsidR="00EB68DD" w:rsidP="00EB68DD" w14:paraId="28B67A04" w14:textId="77777777">
      <w:r>
        <w:rPr>
          <w:rFonts w:cs="Arial"/>
          <w:b/>
          <w:bCs/>
        </w:rPr>
        <w:t>YSM Financial Planning &amp; Analysis</w:t>
      </w:r>
    </w:p>
    <w:p w:rsidR="007D358A" w:rsidP="00003662" w14:paraId="07C8AD82" w14:textId="1AAA29EE">
      <w:pPr>
        <w:pStyle w:val="NormalWeb"/>
        <w:numPr>
          <w:ilvl w:val="0"/>
          <w:numId w:val="18"/>
        </w:numPr>
        <w:spacing w:before="120" w:beforeAutospacing="0" w:after="120" w:afterAutospacing="0"/>
        <w:rPr>
          <w:rFonts w:ascii="Arial" w:hAnsi="Arial" w:cs="Arial"/>
          <w:sz w:val="20"/>
          <w:szCs w:val="20"/>
        </w:rPr>
      </w:pPr>
      <w:r>
        <w:rPr>
          <w:rFonts w:ascii="Arial" w:hAnsi="Arial" w:cs="Arial"/>
          <w:sz w:val="20"/>
          <w:szCs w:val="20"/>
        </w:rPr>
        <w:t>Monitors chairs balances as part of the year end narrative.</w:t>
      </w:r>
    </w:p>
    <w:p w:rsidR="00EB68DD" w:rsidRPr="00EB68DD" w:rsidP="00EB68DD" w14:paraId="50D17E76" w14:textId="77777777">
      <w:pPr>
        <w:pStyle w:val="NormalWeb"/>
        <w:spacing w:before="120" w:beforeAutospacing="0" w:after="120" w:afterAutospacing="0"/>
        <w:ind w:left="720"/>
        <w:rPr>
          <w:rFonts w:ascii="Arial" w:hAnsi="Arial" w:cs="Arial"/>
          <w:sz w:val="20"/>
          <w:szCs w:val="20"/>
        </w:rPr>
      </w:pPr>
    </w:p>
    <w:p w:rsidR="0007688E" w:rsidRPr="00EC53A3" w:rsidP="00003662" w14:paraId="38B51A96" w14:textId="77777777">
      <w:pPr>
        <w:pStyle w:val="SectionHeading"/>
        <w:rPr>
          <w:color w:val="17365D" w:themeColor="text2" w:themeShade="BF"/>
          <w:sz w:val="20"/>
        </w:rPr>
      </w:pPr>
      <w:r w:rsidRPr="00EC53A3">
        <w:rPr>
          <w:color w:val="17365D" w:themeColor="text2" w:themeShade="BF"/>
        </w:rPr>
        <w:t xml:space="preserve">Contact Information </w:t>
      </w:r>
    </w:p>
    <w:p w:rsidR="00EB68DD" w:rsidP="00EB68DD" w14:paraId="5787CAEF" w14:textId="77777777">
      <w:pPr>
        <w:pStyle w:val="BodyText"/>
        <w:numPr>
          <w:ilvl w:val="0"/>
          <w:numId w:val="19"/>
        </w:numPr>
        <w:rPr>
          <w:rStyle w:val="Hyperlink"/>
        </w:rPr>
      </w:pPr>
      <w:bookmarkStart w:id="5" w:name="_Hlk497987165"/>
      <w:r>
        <w:rPr>
          <w:i/>
        </w:rPr>
        <w:t>YSM Controller’s Office</w:t>
      </w:r>
      <w:r>
        <w:t xml:space="preserve">: </w:t>
      </w:r>
      <w:hyperlink r:id="rId14" w:history="1">
        <w:r>
          <w:rPr>
            <w:rStyle w:val="Hyperlink"/>
          </w:rPr>
          <w:t>ysmcontroller@yale.edu</w:t>
        </w:r>
      </w:hyperlink>
    </w:p>
    <w:p w:rsidR="00EB68DD" w:rsidP="00EB68DD" w14:paraId="0F8110DD" w14:textId="77777777">
      <w:pPr>
        <w:pStyle w:val="BodyText"/>
        <w:numPr>
          <w:ilvl w:val="0"/>
          <w:numId w:val="19"/>
        </w:numPr>
      </w:pPr>
      <w:r>
        <w:rPr>
          <w:i/>
        </w:rPr>
        <w:t>YSM Financial Planning &amp; Analysis</w:t>
      </w:r>
      <w:r>
        <w:t xml:space="preserve">: </w:t>
      </w:r>
      <w:hyperlink r:id="rId15" w:history="1">
        <w:r>
          <w:rPr>
            <w:rStyle w:val="Hyperlink"/>
          </w:rPr>
          <w:t>andy.pels@yale.edu</w:t>
        </w:r>
      </w:hyperlink>
    </w:p>
    <w:p w:rsidR="007D358A" w:rsidP="00003662" w14:paraId="6835F536" w14:textId="77777777">
      <w:pPr>
        <w:pStyle w:val="SectionHeading"/>
        <w:rPr>
          <w:color w:val="17365D" w:themeColor="text2" w:themeShade="BF"/>
        </w:rPr>
      </w:pPr>
    </w:p>
    <w:p w:rsidR="009315D0" w:rsidRPr="00EC53A3" w:rsidP="00003662" w14:paraId="790D05A2" w14:textId="77777777">
      <w:pPr>
        <w:pStyle w:val="SectionHeading"/>
        <w:rPr>
          <w:color w:val="17365D" w:themeColor="text2" w:themeShade="BF"/>
        </w:rPr>
      </w:pPr>
      <w:r w:rsidRPr="00EC53A3">
        <w:rPr>
          <w:color w:val="17365D" w:themeColor="text2" w:themeShade="BF"/>
        </w:rPr>
        <w:t>Related Information</w:t>
      </w:r>
      <w:bookmarkEnd w:id="5"/>
    </w:p>
    <w:p w:rsidR="00B26641" w:rsidP="00EB68DD" w14:paraId="41DB7092" w14:textId="77777777">
      <w:pPr>
        <w:pStyle w:val="BodyText"/>
      </w:pPr>
      <w:hyperlink r:id="rId16" w:history="1">
        <w:r>
          <w:rPr>
            <w:rStyle w:val="Hyperlink"/>
          </w:rPr>
          <w:t>Department Funding of Faculty Commitments – Procedure</w:t>
        </w:r>
      </w:hyperlink>
      <w:r>
        <w:t xml:space="preserve"> </w:t>
      </w:r>
    </w:p>
    <w:p w:rsidR="00EB68DD" w:rsidP="00EB68DD" w14:paraId="67154CBA" w14:textId="360390EC">
      <w:pPr>
        <w:pStyle w:val="BodyText"/>
      </w:pPr>
      <w:hyperlink r:id="rId17" w:history="1">
        <w:r>
          <w:rPr>
            <w:rStyle w:val="Hyperlink"/>
          </w:rPr>
          <w:t>YSM Balance Classification - Reference</w:t>
        </w:r>
      </w:hyperlink>
      <w:r>
        <w:t xml:space="preserve"> </w:t>
      </w:r>
    </w:p>
    <w:p w:rsidR="00EB68DD" w:rsidP="00EB68DD" w14:paraId="65909C82" w14:textId="77777777">
      <w:pPr>
        <w:pStyle w:val="BodyText"/>
      </w:pPr>
      <w:hyperlink r:id="rId18" w:history="1">
        <w:r>
          <w:rPr>
            <w:rStyle w:val="Hyperlink"/>
          </w:rPr>
          <w:t>Yale University Commitment Journal Entries - Training</w:t>
        </w:r>
      </w:hyperlink>
    </w:p>
    <w:p w:rsidR="00EB68DD" w:rsidP="00F359A3" w14:paraId="1AEEB820" w14:textId="77777777">
      <w:pPr>
        <w:pStyle w:val="SectionHeading"/>
        <w:rPr>
          <w:color w:val="17365D" w:themeColor="text2" w:themeShade="BF"/>
        </w:rPr>
      </w:pPr>
    </w:p>
    <w:p w:rsidR="00EB68DD" w:rsidP="00F359A3" w14:paraId="24CBE01B" w14:textId="23A7D35E">
      <w:pPr>
        <w:pStyle w:val="SectionHeading"/>
        <w:rPr>
          <w:color w:val="17365D" w:themeColor="text2" w:themeShade="BF"/>
        </w:rPr>
      </w:pPr>
      <w:r w:rsidRPr="00EC53A3">
        <w:rPr>
          <w:color w:val="17365D" w:themeColor="text2" w:themeShade="BF"/>
        </w:rPr>
        <w:t>References</w:t>
      </w:r>
    </w:p>
    <w:p w:rsidR="00EB68DD" w:rsidRPr="00EC53A3" w:rsidP="00F359A3" w14:paraId="79BFAE3A" w14:textId="77777777">
      <w:pPr>
        <w:pStyle w:val="SectionHeading"/>
        <w:rPr>
          <w:color w:val="17365D" w:themeColor="text2" w:themeShade="BF"/>
        </w:rPr>
      </w:pPr>
    </w:p>
    <w:p w:rsidR="0006084D" w:rsidRPr="00EC53A3" w:rsidP="0006084D" w14:paraId="47CA94C3" w14:textId="77777777">
      <w:pPr>
        <w:pStyle w:val="SectionHeading"/>
        <w:rPr>
          <w:color w:val="17365D" w:themeColor="text2" w:themeShade="BF"/>
        </w:rPr>
      </w:pPr>
      <w:r w:rsidRPr="00EC53A3">
        <w:rPr>
          <w:color w:val="17365D" w:themeColor="text2" w:themeShade="BF"/>
        </w:rPr>
        <w:t>Version History</w:t>
      </w:r>
    </w:p>
    <w:p w:rsidR="007D358A" w:rsidP="007D358A" w14:paraId="41B9DABA" w14:textId="69EFA787">
      <w:pPr>
        <w:pStyle w:val="BodyText"/>
        <w:numPr>
          <w:ilvl w:val="0"/>
          <w:numId w:val="15"/>
        </w:numPr>
        <w:rPr>
          <w:bCs/>
        </w:rPr>
      </w:pPr>
      <w:r>
        <w:rPr>
          <w:b/>
        </w:rPr>
        <w:t xml:space="preserve">10/09/2023: </w:t>
      </w:r>
      <w:r>
        <w:rPr>
          <w:bCs/>
        </w:rPr>
        <w:t>New Policy</w:t>
      </w:r>
    </w:p>
    <w:p w:rsidR="00EB68DD" w:rsidRPr="0050277A" w:rsidP="00EB68DD" w14:paraId="505E7734" w14:textId="77777777">
      <w:pPr>
        <w:pStyle w:val="BodyText"/>
        <w:ind w:left="720"/>
        <w:rPr>
          <w:bCs/>
        </w:rPr>
      </w:pPr>
    </w:p>
    <w:p w:rsidR="0006084D" w:rsidP="0006084D" w14:paraId="1208DBE7" w14:textId="77777777">
      <w:pPr>
        <w:pStyle w:val="SectionHeading"/>
        <w:rPr>
          <w:color w:val="17365D" w:themeColor="text2" w:themeShade="BF"/>
        </w:rPr>
      </w:pPr>
      <w:r w:rsidRPr="00EC53A3">
        <w:rPr>
          <w:color w:val="17365D" w:themeColor="text2" w:themeShade="BF"/>
        </w:rPr>
        <w:t xml:space="preserve">Keywords </w:t>
      </w:r>
    </w:p>
    <w:p w:rsidR="00964C57" w:rsidRPr="00EB68DD" w:rsidP="00EB68DD" w14:paraId="1A0947F3" w14:textId="78646F92">
      <w:r w:rsidRPr="00EB68DD">
        <w:t>Department, Funding, Faculty, Commitments</w:t>
      </w:r>
    </w:p>
    <w:p w:rsidR="007D358A" w:rsidP="00B31E70" w14:paraId="711A02D3" w14:textId="77777777">
      <w:pPr>
        <w:spacing w:before="0"/>
        <w:rPr>
          <w:b/>
          <w:bCs/>
          <w:szCs w:val="24"/>
        </w:rPr>
      </w:pPr>
    </w:p>
    <w:p w:rsidR="00B31E70" w:rsidRPr="00527DB8" w:rsidP="00B31E70" w14:paraId="0DEB58C8" w14:textId="5B7897FC">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Pr="00EB68DD">
        <w:rPr>
          <w:szCs w:val="24"/>
        </w:rPr>
        <w:t>Deputy Dean Finance &amp; Administration</w:t>
      </w:r>
    </w:p>
    <w:p w:rsidR="00B31E70" w:rsidRPr="00825DBD" w:rsidP="00B31E70" w14:paraId="18B9BB83" w14:textId="581368CC">
      <w:pPr>
        <w:rPr>
          <w:b/>
          <w:bCs/>
          <w:szCs w:val="24"/>
        </w:rPr>
      </w:pPr>
      <w:r w:rsidRPr="00825DBD">
        <w:rPr>
          <w:b/>
          <w:bCs/>
          <w:szCs w:val="24"/>
        </w:rPr>
        <w:t>Document Administrator</w:t>
      </w:r>
      <w:r>
        <w:rPr>
          <w:b/>
          <w:bCs/>
          <w:szCs w:val="24"/>
        </w:rPr>
        <w:t xml:space="preserve">: </w:t>
      </w:r>
      <w:r w:rsidRPr="00825DBD">
        <w:rPr>
          <w:b/>
          <w:bCs/>
          <w:szCs w:val="24"/>
        </w:rPr>
        <w:tab/>
      </w:r>
      <w:r w:rsidRPr="00EB68DD">
        <w:rPr>
          <w:szCs w:val="24"/>
        </w:rPr>
        <w:t>Kelsey Schieren</w:t>
      </w:r>
    </w:p>
    <w:p w:rsidR="00B31E70" w:rsidRPr="00EB68DD" w:rsidP="00B31E70" w14:paraId="285B55AD" w14:textId="55409769">
      <w:pPr>
        <w:rPr>
          <w:sz w:val="18"/>
          <w:szCs w:val="18"/>
        </w:rPr>
      </w:pPr>
      <w:r w:rsidRPr="00825DBD">
        <w:rPr>
          <w:b/>
          <w:bCs/>
          <w:szCs w:val="24"/>
        </w:rPr>
        <w:t xml:space="preserve">Date of Origin: </w:t>
      </w:r>
      <w:r w:rsidRPr="00825DBD">
        <w:rPr>
          <w:b/>
          <w:bCs/>
          <w:szCs w:val="24"/>
        </w:rPr>
        <w:tab/>
      </w:r>
      <w:r w:rsidRPr="00825DBD">
        <w:rPr>
          <w:b/>
          <w:bCs/>
          <w:szCs w:val="24"/>
        </w:rPr>
        <w:tab/>
      </w:r>
      <w:r>
        <w:rPr>
          <w:szCs w:val="24"/>
        </w:rPr>
        <w:t>10/09/2023</w:t>
      </w:r>
    </w:p>
    <w:p w:rsidR="007179BB" w:rsidRPr="007D358A" w:rsidP="007D358A" w14:paraId="52F29375" w14:textId="47734CAE">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Pr="00EB68DD">
        <w:rPr>
          <w:szCs w:val="24"/>
        </w:rPr>
        <w:t>01/26/2024</w:t>
      </w:r>
    </w:p>
    <w:p w:rsidR="00964C57" w:rsidP="00EB68DD" w14:paraId="037F6B4B" w14:textId="530FE3ED">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sectPr w:rsidSect="00641FF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18EECCFF" w14:textId="77777777">
      <w:pPr>
        <w:spacing w:before="0" w:after="0"/>
      </w:pPr>
      <w:r>
        <w:separator/>
      </w:r>
    </w:p>
  </w:endnote>
  <w:endnote w:type="continuationSeparator" w:id="1">
    <w:p w:rsidR="00407172" w14:paraId="21CD7C8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3262BFD9" w14:textId="77777777">
            <w:pPr>
              <w:pBdr>
                <w:bottom w:val="single" w:sz="6" w:space="1" w:color="auto"/>
              </w:pBdr>
              <w:spacing w:before="0"/>
            </w:pPr>
          </w:p>
          <w:p w:rsidR="00ED0249" w:rsidP="000A6AF5" w14:paraId="1166AA26" w14:textId="77777777">
            <w:pPr>
              <w:spacing w:before="0"/>
            </w:pPr>
          </w:p>
          <w:p w:rsidR="00EF6513" w:rsidRPr="00823578" w:rsidP="00823578" w14:paraId="2A9A1DC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132A07F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4E800C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28EBE234" w14:textId="77777777">
      <w:pPr>
        <w:spacing w:before="0" w:after="0"/>
      </w:pPr>
      <w:r>
        <w:separator/>
      </w:r>
    </w:p>
  </w:footnote>
  <w:footnote w:type="continuationSeparator" w:id="1">
    <w:p w:rsidR="00407172" w14:paraId="670EDD9A"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19A7044B" w14:textId="448081D7">
    <w:pPr>
      <w:pStyle w:val="DocTitle"/>
    </w:pPr>
    <w:r>
      <w:rPr>
        <w:noProof/>
      </w:rPr>
      <w:drawing>
        <wp:inline distT="0" distB="0" distL="0" distR="0">
          <wp:extent cx="4434840" cy="326136"/>
          <wp:effectExtent l="0" t="0" r="3810" b="0"/>
          <wp:docPr id="108454165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65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375C7668" w14:textId="1454B7BC">
    <w:pPr>
      <w:pStyle w:val="DocTitle"/>
    </w:pPr>
    <w:r>
      <w:t xml:space="preserve">Department Funding of Faculty Commitments – Policy </w:t>
    </w:r>
  </w:p>
  <w:p w:rsidR="00B25E5B" w:rsidRPr="00527DB8" w:rsidP="00C454DB" w14:paraId="7137405B" w14:textId="42F0A7FC">
    <w:pPr>
      <w:spacing w:before="0" w:line="276" w:lineRule="auto"/>
      <w:rPr>
        <w:sz w:val="18"/>
        <w:szCs w:val="18"/>
      </w:rPr>
    </w:pPr>
    <w:r w:rsidRPr="00825DBD">
      <w:rPr>
        <w:b/>
        <w:bCs/>
        <w:szCs w:val="24"/>
      </w:rPr>
      <w:t>Responsible Office:</w:t>
    </w:r>
    <w:r w:rsidRPr="00825DBD">
      <w:rPr>
        <w:b/>
        <w:bCs/>
        <w:szCs w:val="24"/>
      </w:rPr>
      <w:tab/>
    </w:r>
    <w:r w:rsidRPr="00EB68DD">
      <w:rPr>
        <w:szCs w:val="24"/>
      </w:rPr>
      <w:t>MEDFIN Finance and Administration</w:t>
    </w:r>
    <w:r w:rsidRPr="00825DBD">
      <w:rPr>
        <w:b/>
        <w:bCs/>
        <w:szCs w:val="24"/>
      </w:rPr>
      <w:tab/>
    </w:r>
    <w:r w:rsidRPr="009A518F" w:rsidR="004D0B0B">
      <w:t xml:space="preserve"> </w:t>
    </w:r>
  </w:p>
  <w:p w:rsidR="00B25E5B" w:rsidRPr="000B515B" w:rsidP="000B515B" w14:paraId="6FACD552" w14:textId="2CED5C60">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EB68DD">
      <w:rPr>
        <w:szCs w:val="24"/>
      </w:rPr>
      <w:t>Jess Caponigro</w:t>
    </w:r>
    <w:r>
      <w:rPr>
        <w:b/>
        <w:bCs/>
        <w:szCs w:val="24"/>
      </w:rPr>
      <w:t xml:space="preserve"> </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5480AB24" w14:textId="6E559646">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Pr="00EB68DD">
      <w:rPr>
        <w:szCs w:val="24"/>
      </w:rPr>
      <w:t>01/26/2024</w:t>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AF98CB3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1202136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8110422">
    <w:abstractNumId w:val="3"/>
  </w:num>
  <w:num w:numId="18" w16cid:durableId="509638136">
    <w:abstractNumId w:val="9"/>
  </w:num>
  <w:num w:numId="19" w16cid:durableId="11902970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1F1F"/>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641"/>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68DD"/>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FA0151"/>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1157" TargetMode="External" /><Relationship Id="rId11" Type="http://schemas.openxmlformats.org/officeDocument/2006/relationships/hyperlink" Target="https://yale.navexone.com/content/docview/?app=pt&amp;source=doclink&amp;docid=1157" TargetMode="External" /><Relationship Id="rId12" Type="http://schemas.openxmlformats.org/officeDocument/2006/relationships/hyperlink" Target="https://yale.navexone.com/content/docview/?docid=510&amp;public=true&amp;fileonly=true&amp;app=pt&amp;source=doclink" TargetMode="External" /><Relationship Id="rId13" Type="http://schemas.openxmlformats.org/officeDocument/2006/relationships/hyperlink" Target="mailto:ysmcontroller@yale.edu" TargetMode="External" /><Relationship Id="rId14" Type="http://schemas.openxmlformats.org/officeDocument/2006/relationships/hyperlink" Target="mailto:ysmcontroller@yale.edu" TargetMode="External" /><Relationship Id="rId15" Type="http://schemas.openxmlformats.org/officeDocument/2006/relationships/hyperlink" Target="mailto:andy.pels@yale.edu" TargetMode="External" /><Relationship Id="rId16" Type="http://schemas.openxmlformats.org/officeDocument/2006/relationships/hyperlink" Target="https://yale.navexone.com/content/docview/?app=pt&amp;source=doclink&amp;docid=792" TargetMode="External" /><Relationship Id="rId17" Type="http://schemas.openxmlformats.org/officeDocument/2006/relationships/hyperlink" Target="https://yale.navexone.com/content/docview/?app=pt&amp;source=doclink&amp;docid=1157" TargetMode="External" /><Relationship Id="rId18" Type="http://schemas.openxmlformats.org/officeDocument/2006/relationships/hyperlink" Target="https://your.yale.edu/work-yale/financial-management/accounting/accounting-manual/commitment-journal-entries-training" TargetMode="Externa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419</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3737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Department Funding of Faculty Commitments – Policy</dc:title>
  <dc:creator>Hettiarachchi, Parami</dc:creator>
  <lastModifiedBy>Schieren, Kelsey</lastModifiedBy>
  <revision>3</revision>
  <lastPrinted>2015-08-17T19:29:00.0000000Z</lastPrinted>
  <dcterms:created xsi:type="dcterms:W3CDTF">2025-02-01T04:06:00.0000000Z</dcterms:created>
  <dcterms:modified xsi:type="dcterms:W3CDTF">2025-02-01T04:09:00.0000000Z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