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763D8C" w:rsidP="00894643" w14:paraId="294B2ADB" w14:textId="03FD3366">
      <w:pPr>
        <w:pStyle w:val="SectionHeading"/>
        <w:numPr>
          <w:ilvl w:val="0"/>
          <w:numId w:val="25"/>
        </w:numPr>
        <w:ind w:left="720" w:hanging="720"/>
        <w:rPr>
          <w:color w:val="365F91" w:themeColor="accent1" w:themeShade="BF"/>
          <w:sz w:val="28"/>
          <w:szCs w:val="28"/>
        </w:rPr>
        <w:sectPr w:rsidSect="00641FF8">
          <w:headerReference w:type="default" r:id="rId10"/>
          <w:footerReference w:type="default" r:id="rId11"/>
          <w:headerReference w:type="first" r:id="rId12"/>
          <w:footerReference w:type="first" r:id="rId13"/>
          <w:type w:val="continuous"/>
          <w:pgSz w:w="12240" w:h="15840" w:orient="portrait" w:code="1"/>
          <w:pgMar w:top="1440" w:right="1440" w:bottom="1440" w:left="1440" w:header="720" w:footer="720" w:gutter="0"/>
          <w:cols w:space="720"/>
          <w:titlePg/>
        </w:sectPr>
      </w:pPr>
      <w:r w:rsidRPr="00763D8C">
        <w:rPr>
          <w:color w:val="365F91" w:themeColor="accent1" w:themeShade="BF"/>
          <w:sz w:val="28"/>
          <w:szCs w:val="28"/>
        </w:rPr>
        <w:t>Scope</w:t>
      </w:r>
    </w:p>
    <w:p w:rsidR="00582B1E" w:rsidRPr="008D3096" w:rsidP="00582B1E" w14:paraId="44483C87" w14:textId="77777777">
      <w:pPr>
        <w:spacing w:line="276" w:lineRule="auto"/>
        <w:ind w:left="720"/>
        <w:rPr>
          <w:rFonts w:eastAsiaTheme="minorEastAsia" w:cs="Arial"/>
        </w:rPr>
      </w:pPr>
      <w:r w:rsidRPr="00F335E5">
        <w:rPr>
          <w:rFonts w:eastAsiaTheme="minorEastAsia" w:cs="Arial"/>
        </w:rPr>
        <w:t xml:space="preserve">This procedure applies to all </w:t>
      </w:r>
      <w:r w:rsidRPr="00E1105F">
        <w:rPr>
          <w:rFonts w:eastAsiaTheme="minorEastAsia" w:cs="Arial"/>
        </w:rPr>
        <w:t>studies in which the Yale Center for Clinical Investigation (YCCI) provides clinical research support</w:t>
      </w:r>
      <w:r>
        <w:rPr>
          <w:rFonts w:eastAsiaTheme="minorEastAsia" w:cs="Arial"/>
        </w:rPr>
        <w:t xml:space="preserve"> when Yale is a study site</w:t>
      </w:r>
      <w:r w:rsidRPr="00E1105F">
        <w:rPr>
          <w:rFonts w:eastAsiaTheme="minorEastAsia" w:cs="Arial"/>
        </w:rPr>
        <w:t>.</w:t>
      </w:r>
    </w:p>
    <w:p w:rsidR="007D39A2" w:rsidRPr="00763D8C" w:rsidP="00377D0F" w14:paraId="0BBB395A" w14:textId="7668A4D5">
      <w:pPr>
        <w:pStyle w:val="SectionHeading"/>
        <w:numPr>
          <w:ilvl w:val="0"/>
          <w:numId w:val="25"/>
        </w:numPr>
        <w:spacing w:line="276" w:lineRule="auto"/>
        <w:ind w:left="720" w:hanging="720"/>
        <w:rPr>
          <w:color w:val="365F91" w:themeColor="accent1" w:themeShade="BF"/>
          <w:sz w:val="28"/>
          <w:szCs w:val="28"/>
        </w:rPr>
      </w:pPr>
      <w:r w:rsidRPr="00763D8C">
        <w:rPr>
          <w:color w:val="365F91" w:themeColor="accent1" w:themeShade="BF"/>
          <w:sz w:val="28"/>
          <w:szCs w:val="28"/>
        </w:rPr>
        <w:t>Purpose</w:t>
      </w:r>
      <w:r w:rsidRPr="00763D8C" w:rsidR="0019604E">
        <w:rPr>
          <w:color w:val="365F91" w:themeColor="accent1" w:themeShade="BF"/>
          <w:sz w:val="28"/>
          <w:szCs w:val="28"/>
        </w:rPr>
        <w:t xml:space="preserve"> </w:t>
      </w:r>
    </w:p>
    <w:p w:rsidR="00BC6B69" w:rsidRPr="00DA2A78" w:rsidP="2FC6CE3E" w14:paraId="1B54F012" w14:textId="241E10CF">
      <w:pPr>
        <w:spacing w:line="276" w:lineRule="auto"/>
        <w:ind w:left="720"/>
        <w:rPr>
          <w:rFonts w:cs="Arial"/>
          <w:i/>
          <w:iCs/>
          <w:shd w:val="clear" w:color="auto" w:fill="E1F4FF"/>
        </w:rPr>
      </w:pPr>
      <w:r w:rsidRPr="2FC6CE3E" w:rsidR="2FC6CE3E">
        <w:rPr>
          <w:rFonts w:cs="Arial"/>
        </w:rPr>
        <w:t xml:space="preserve">This document outlines the procedures </w:t>
      </w:r>
      <w:r w:rsidRPr="2FC6CE3E" w:rsidR="2FC6CE3E">
        <w:rPr>
          <w:rFonts w:cs="Arial"/>
        </w:rPr>
        <w:t>required</w:t>
      </w:r>
      <w:r w:rsidRPr="2FC6CE3E" w:rsidR="2FC6CE3E">
        <w:rPr>
          <w:rFonts w:cs="Arial"/>
        </w:rPr>
        <w:t xml:space="preserve"> for source record redaction of personally identifiable information (PII) when said document is being shared externally.  </w:t>
      </w:r>
    </w:p>
    <w:p w:rsidR="00754DF2" w:rsidRPr="00763D8C" w:rsidP="00E862D6" w14:paraId="7B442FD9" w14:textId="1292D232">
      <w:pPr>
        <w:pStyle w:val="SectionHeading"/>
        <w:numPr>
          <w:ilvl w:val="0"/>
          <w:numId w:val="25"/>
        </w:numPr>
        <w:ind w:left="720" w:hanging="720"/>
        <w:contextualSpacing w:val="0"/>
        <w:rPr>
          <w:color w:val="365F91" w:themeColor="accent1" w:themeShade="BF"/>
          <w:sz w:val="28"/>
          <w:szCs w:val="28"/>
        </w:rPr>
      </w:pPr>
      <w:r w:rsidRPr="00763D8C">
        <w:rPr>
          <w:color w:val="365F91" w:themeColor="accent1" w:themeShade="BF"/>
          <w:sz w:val="28"/>
          <w:szCs w:val="28"/>
        </w:rPr>
        <w:t>Definitions</w:t>
      </w:r>
      <w:r w:rsidRPr="00763D8C" w:rsidR="00575B4E">
        <w:rPr>
          <w:color w:val="365F91" w:themeColor="accent1" w:themeShade="BF"/>
          <w:sz w:val="28"/>
          <w:szCs w:val="28"/>
        </w:rPr>
        <w:t xml:space="preserve"> and Abbreviations</w:t>
      </w:r>
    </w:p>
    <w:p w:rsidR="00DA10F6" w:rsidRPr="00135FA5" w:rsidP="00DA10F6" w14:paraId="215841F0" w14:textId="36290109">
      <w:pPr>
        <w:spacing w:line="276" w:lineRule="auto"/>
        <w:ind w:left="720"/>
        <w:rPr>
          <w:rFonts w:eastAsiaTheme="minorEastAsia" w:cs="Arial"/>
        </w:rPr>
      </w:pPr>
      <w:bookmarkStart w:id="0" w:name="_Toc425171621"/>
      <w:r w:rsidRPr="00DA10F6">
        <w:rPr>
          <w:rFonts w:eastAsiaTheme="minorEastAsia" w:cs="Arial"/>
          <w:b/>
          <w:bCs/>
        </w:rPr>
        <w:t>Health Insurance Portability and Accountability Act (HIPAA)</w:t>
      </w:r>
      <w:r w:rsidRPr="00135FA5">
        <w:rPr>
          <w:rFonts w:eastAsiaTheme="minorEastAsia" w:cs="Arial"/>
        </w:rPr>
        <w:t xml:space="preserve"> –</w:t>
      </w:r>
      <w:r w:rsidR="00735C99">
        <w:rPr>
          <w:rStyle w:val="Hyperlink0"/>
          <w:rFonts w:cstheme="minorHAnsi"/>
        </w:rPr>
        <w:t>The Health Insurance Portability and Accountability Act (HIPAA) is an act created by the U.S. Congress in 1996 that amends both the </w:t>
      </w:r>
      <w:hyperlink r:id="rId14" w:history="1">
        <w:r w:rsidR="00735C99">
          <w:rPr>
            <w:rStyle w:val="Hyperlink0"/>
            <w:rFonts w:cstheme="minorHAnsi"/>
          </w:rPr>
          <w:t>Employee Retirement Income Security Act (ERISA)</w:t>
        </w:r>
      </w:hyperlink>
      <w:r w:rsidR="00735C99">
        <w:rPr>
          <w:rStyle w:val="Hyperlink0"/>
          <w:rFonts w:cstheme="minorHAnsi"/>
        </w:rPr>
        <w:t> and the Public Health Service Act (PHSA). HIPAA was enacted in an effort to protect individuals covered by </w:t>
      </w:r>
      <w:hyperlink r:id="rId15" w:history="1">
        <w:r w:rsidR="00735C99">
          <w:rPr>
            <w:rStyle w:val="Hyperlink0"/>
            <w:rFonts w:cstheme="minorHAnsi"/>
          </w:rPr>
          <w:t>health insurance</w:t>
        </w:r>
      </w:hyperlink>
      <w:r w:rsidR="00735C99">
        <w:rPr>
          <w:rStyle w:val="Hyperlink0"/>
          <w:rFonts w:cstheme="minorHAnsi"/>
        </w:rPr>
        <w:t> and to set standards for the storage and privacy of personal medical data.</w:t>
      </w:r>
    </w:p>
    <w:p w:rsidR="00DA10F6" w:rsidRPr="00135FA5" w:rsidP="00DA10F6" w14:paraId="51E654C6" w14:textId="77777777">
      <w:pPr>
        <w:spacing w:line="276" w:lineRule="auto"/>
        <w:ind w:left="720"/>
        <w:rPr>
          <w:rFonts w:eastAsiaTheme="minorEastAsia" w:cs="Arial"/>
        </w:rPr>
      </w:pPr>
    </w:p>
    <w:p w:rsidR="00DA10F6" w:rsidRPr="00135FA5" w:rsidP="00DA10F6" w14:paraId="0C4F1FCD" w14:textId="77777777">
      <w:pPr>
        <w:spacing w:line="276" w:lineRule="auto"/>
        <w:ind w:left="720"/>
        <w:rPr>
          <w:rFonts w:eastAsiaTheme="minorEastAsia" w:cs="Arial"/>
        </w:rPr>
      </w:pPr>
      <w:r w:rsidRPr="00DA10F6">
        <w:rPr>
          <w:rFonts w:eastAsiaTheme="minorEastAsia" w:cs="Arial"/>
          <w:b/>
          <w:bCs/>
        </w:rPr>
        <w:t>HIPAA Privacy Rule</w:t>
      </w:r>
      <w:r w:rsidRPr="00135FA5">
        <w:rPr>
          <w:rFonts w:eastAsiaTheme="minorEastAsia" w:cs="Arial"/>
        </w:rPr>
        <w:t xml:space="preserve"> – issued by the U.S. Department of Health and Human Services (HHS) to implement the requirements of HIPAA. The Privacy Rule standards address the use and disclosure of individuals’ health information (known as protected health information or PHI) by entities subject to the Privacy Rule. These individuals and organizations are called “covered entities.” A covered entity may always use or disclose for research purposes health information which has been de-identified (in accordance with 45 CFR 164.502(d), and</w:t>
      </w:r>
      <w:r w:rsidRPr="00135FA5">
        <w:rPr>
          <w:rFonts w:eastAsiaTheme="minorEastAsia" w:cs="Arial"/>
        </w:rPr>
        <w:t xml:space="preserve"> 164.514(a)-(c) of the Rule). Where research is concerned, the Privacy Rule protects the privacy of individually identifiable health information, while at the same time ensuring that researchers continue to have access to medical information necessary to conduct vital research. </w:t>
      </w:r>
    </w:p>
    <w:p w:rsidR="00DA10F6" w:rsidRPr="00135FA5" w:rsidP="007567A5" w14:paraId="21F24568" w14:textId="77777777">
      <w:pPr>
        <w:spacing w:line="276" w:lineRule="auto"/>
        <w:rPr>
          <w:rFonts w:eastAsiaTheme="minorEastAsia" w:cs="Arial"/>
        </w:rPr>
      </w:pPr>
    </w:p>
    <w:p w:rsidR="00DA10F6" w:rsidRPr="00135FA5" w:rsidP="0003575B" w14:paraId="665D700F" w14:textId="3FDFF216">
      <w:pPr>
        <w:spacing w:line="276" w:lineRule="auto"/>
        <w:ind w:left="720"/>
        <w:rPr>
          <w:rFonts w:eastAsiaTheme="minorEastAsia" w:cs="Arial"/>
        </w:rPr>
      </w:pPr>
      <w:r w:rsidRPr="00DA10F6">
        <w:rPr>
          <w:rFonts w:eastAsiaTheme="minorEastAsia" w:cs="Arial"/>
          <w:b/>
          <w:bCs/>
        </w:rPr>
        <w:t>Personally Identifiable Information (P</w:t>
      </w:r>
      <w:r w:rsidR="00810881">
        <w:rPr>
          <w:rFonts w:eastAsiaTheme="minorEastAsia" w:cs="Arial"/>
          <w:b/>
          <w:bCs/>
        </w:rPr>
        <w:t>I</w:t>
      </w:r>
      <w:r>
        <w:rPr>
          <w:rFonts w:eastAsiaTheme="minorEastAsia" w:cs="Arial"/>
          <w:b/>
          <w:bCs/>
        </w:rPr>
        <w:t>I)</w:t>
      </w:r>
      <w:r w:rsidRPr="00135FA5">
        <w:rPr>
          <w:rFonts w:eastAsiaTheme="minorEastAsia" w:cs="Arial"/>
        </w:rPr>
        <w:t xml:space="preserve"> - information that can be used to distinguish or trace an individual’s identity, either alone or when combined with other personal or identifying information that is linked or linkable to a specific individual. PII includes the following identifiers:</w:t>
      </w:r>
    </w:p>
    <w:p w:rsidR="00DA10F6" w:rsidRPr="00135FA5" w:rsidP="0003575B" w14:paraId="29A0E204" w14:textId="77777777">
      <w:pPr>
        <w:numPr>
          <w:ilvl w:val="0"/>
          <w:numId w:val="38"/>
        </w:numPr>
        <w:spacing w:before="0" w:after="0" w:line="276" w:lineRule="auto"/>
        <w:ind w:left="1080" w:firstLine="0"/>
        <w:rPr>
          <w:rFonts w:eastAsiaTheme="minorEastAsia" w:cs="Arial"/>
        </w:rPr>
      </w:pPr>
      <w:r w:rsidRPr="00135FA5">
        <w:rPr>
          <w:rFonts w:eastAsiaTheme="minorEastAsia" w:cs="Arial"/>
        </w:rPr>
        <w:t>Names</w:t>
      </w:r>
    </w:p>
    <w:p w:rsidR="00DA10F6" w:rsidRPr="00E42839" w:rsidP="00E42839" w14:paraId="1C0B82E1" w14:textId="27E3A674">
      <w:pPr>
        <w:pStyle w:val="ListParagraph"/>
        <w:numPr>
          <w:ilvl w:val="0"/>
          <w:numId w:val="38"/>
        </w:numPr>
        <w:spacing w:before="0" w:after="0" w:line="276" w:lineRule="auto"/>
        <w:ind w:left="1440"/>
        <w:rPr>
          <w:rFonts w:eastAsiaTheme="minorEastAsia" w:cs="Arial"/>
        </w:rPr>
      </w:pPr>
      <w:r w:rsidRPr="00E42839">
        <w:rPr>
          <w:rFonts w:eastAsiaTheme="minorEastAsia" w:cs="Arial"/>
        </w:rPr>
        <w:t>All geographic subdivisions smaller than a state, including street address, city, county, precinct, ZIP code and their equivalent geocodes, except for the initial three digits of the ZIP code if, according to the current publicly available data from the Bureau of the Census:</w:t>
      </w:r>
    </w:p>
    <w:p w:rsidR="00DA10F6" w:rsidRPr="009E5BC6" w:rsidP="00E42839" w14:paraId="00A8B9E6" w14:textId="2787FE0E">
      <w:pPr>
        <w:pStyle w:val="ListParagraph"/>
        <w:numPr>
          <w:ilvl w:val="1"/>
          <w:numId w:val="38"/>
        </w:numPr>
        <w:spacing w:before="0" w:after="0" w:line="276" w:lineRule="auto"/>
        <w:ind w:left="2880" w:hanging="450"/>
        <w:rPr>
          <w:rFonts w:eastAsiaTheme="minorEastAsia" w:cs="Arial"/>
        </w:rPr>
      </w:pPr>
      <w:r w:rsidRPr="009E5BC6">
        <w:rPr>
          <w:rFonts w:eastAsiaTheme="minorEastAsia" w:cs="Arial"/>
        </w:rPr>
        <w:t>The geographic unit formed by combining all ZIP codes with the same three initial digits contains more than 20,000 people; and</w:t>
      </w:r>
    </w:p>
    <w:p w:rsidR="00DA10F6" w:rsidRPr="00135FA5" w:rsidP="00E42839" w14:paraId="63F05CF5" w14:textId="77777777">
      <w:pPr>
        <w:numPr>
          <w:ilvl w:val="1"/>
          <w:numId w:val="38"/>
        </w:numPr>
        <w:spacing w:before="0" w:after="0" w:line="276" w:lineRule="auto"/>
        <w:ind w:left="2880" w:hanging="450"/>
        <w:rPr>
          <w:rFonts w:eastAsiaTheme="minorEastAsia" w:cs="Arial"/>
        </w:rPr>
      </w:pPr>
      <w:r w:rsidRPr="00135FA5">
        <w:rPr>
          <w:rFonts w:eastAsiaTheme="minorEastAsia" w:cs="Arial"/>
        </w:rPr>
        <w:t>The initial three digits of a ZIP code for all such geographic units containing 20,000 or fewer people is changed to 000</w:t>
      </w:r>
    </w:p>
    <w:p w:rsidR="00DA10F6" w:rsidRPr="00E42839" w:rsidP="00E42839" w14:paraId="15FC4FA9" w14:textId="14EE3D07">
      <w:pPr>
        <w:numPr>
          <w:ilvl w:val="0"/>
          <w:numId w:val="38"/>
        </w:numPr>
        <w:spacing w:before="0" w:after="0" w:line="276" w:lineRule="auto"/>
        <w:ind w:left="1440"/>
        <w:rPr>
          <w:rFonts w:eastAsiaTheme="minorEastAsia" w:cs="Arial"/>
        </w:rPr>
      </w:pPr>
      <w:r w:rsidRPr="00135FA5">
        <w:rPr>
          <w:rFonts w:eastAsiaTheme="minorEastAsia" w:cs="Arial"/>
        </w:rPr>
        <w:t>All elements of dates (except year) for dates that are directly related to an individual, including birth date, admission date, discharge date, death date, and all</w:t>
      </w:r>
      <w:r w:rsidR="00E42839">
        <w:rPr>
          <w:rFonts w:eastAsiaTheme="minorEastAsia" w:cs="Arial"/>
        </w:rPr>
        <w:t xml:space="preserve"> </w:t>
      </w:r>
      <w:r w:rsidRPr="00E42839">
        <w:rPr>
          <w:rFonts w:eastAsiaTheme="minorEastAsia" w:cs="Arial"/>
        </w:rPr>
        <w:t>ages over 89 and all elements of dates (including year) indicative of such age,</w:t>
      </w:r>
      <w:r w:rsidR="00E42839">
        <w:rPr>
          <w:rFonts w:eastAsiaTheme="minorEastAsia" w:cs="Arial"/>
        </w:rPr>
        <w:t xml:space="preserve"> </w:t>
      </w:r>
      <w:r w:rsidRPr="00E42839">
        <w:rPr>
          <w:rFonts w:eastAsiaTheme="minorEastAsia" w:cs="Arial"/>
        </w:rPr>
        <w:t>except that such ages and elements may be aggregated into a single category of age 90 or older</w:t>
      </w:r>
    </w:p>
    <w:p w:rsidR="00DA10F6" w:rsidRPr="00135FA5" w:rsidP="0003575B" w14:paraId="0B88B860" w14:textId="77777777">
      <w:pPr>
        <w:numPr>
          <w:ilvl w:val="0"/>
          <w:numId w:val="38"/>
        </w:numPr>
        <w:spacing w:before="0" w:after="0" w:line="276" w:lineRule="auto"/>
        <w:ind w:left="1080" w:firstLine="0"/>
        <w:rPr>
          <w:rFonts w:eastAsiaTheme="minorEastAsia" w:cs="Arial"/>
        </w:rPr>
      </w:pPr>
      <w:r w:rsidRPr="00135FA5">
        <w:rPr>
          <w:rFonts w:eastAsiaTheme="minorEastAsia" w:cs="Arial"/>
        </w:rPr>
        <w:t>Telephone numbers</w:t>
      </w:r>
    </w:p>
    <w:p w:rsidR="00DA10F6" w:rsidRPr="00135FA5" w:rsidP="0003575B" w14:paraId="1715F446" w14:textId="77777777">
      <w:pPr>
        <w:numPr>
          <w:ilvl w:val="0"/>
          <w:numId w:val="38"/>
        </w:numPr>
        <w:spacing w:before="0" w:after="0" w:line="276" w:lineRule="auto"/>
        <w:ind w:left="1080" w:firstLine="0"/>
        <w:rPr>
          <w:rFonts w:eastAsiaTheme="minorEastAsia" w:cs="Arial"/>
        </w:rPr>
      </w:pPr>
      <w:r w:rsidRPr="00135FA5">
        <w:rPr>
          <w:rFonts w:eastAsiaTheme="minorEastAsia" w:cs="Arial"/>
        </w:rPr>
        <w:t>Fax numbers</w:t>
      </w:r>
    </w:p>
    <w:p w:rsidR="00DA10F6" w:rsidRPr="00135FA5" w:rsidP="0003575B" w14:paraId="4048DA27" w14:textId="77777777">
      <w:pPr>
        <w:numPr>
          <w:ilvl w:val="0"/>
          <w:numId w:val="38"/>
        </w:numPr>
        <w:spacing w:before="0" w:after="0" w:line="276" w:lineRule="auto"/>
        <w:ind w:left="1080" w:firstLine="0"/>
        <w:rPr>
          <w:rFonts w:eastAsiaTheme="minorEastAsia" w:cs="Arial"/>
        </w:rPr>
      </w:pPr>
      <w:r w:rsidRPr="00135FA5">
        <w:rPr>
          <w:rFonts w:eastAsiaTheme="minorEastAsia" w:cs="Arial"/>
        </w:rPr>
        <w:t>Email addresses</w:t>
      </w:r>
    </w:p>
    <w:p w:rsidR="00DA10F6" w:rsidRPr="00135FA5" w:rsidP="0003575B" w14:paraId="45E5D0E6" w14:textId="77777777">
      <w:pPr>
        <w:numPr>
          <w:ilvl w:val="0"/>
          <w:numId w:val="38"/>
        </w:numPr>
        <w:spacing w:before="0" w:after="0" w:line="276" w:lineRule="auto"/>
        <w:ind w:left="1080" w:firstLine="0"/>
        <w:rPr>
          <w:rFonts w:eastAsiaTheme="minorEastAsia" w:cs="Arial"/>
        </w:rPr>
      </w:pPr>
      <w:r w:rsidRPr="00135FA5">
        <w:rPr>
          <w:rFonts w:eastAsiaTheme="minorEastAsia" w:cs="Arial"/>
        </w:rPr>
        <w:t>Social security numbers</w:t>
      </w:r>
    </w:p>
    <w:p w:rsidR="00DA10F6" w:rsidRPr="00135FA5" w:rsidP="0003575B" w14:paraId="1C8BF361" w14:textId="77777777">
      <w:pPr>
        <w:numPr>
          <w:ilvl w:val="0"/>
          <w:numId w:val="38"/>
        </w:numPr>
        <w:spacing w:before="0" w:after="0" w:line="276" w:lineRule="auto"/>
        <w:ind w:left="1080" w:firstLine="0"/>
        <w:rPr>
          <w:rFonts w:eastAsiaTheme="minorEastAsia" w:cs="Arial"/>
        </w:rPr>
      </w:pPr>
      <w:r w:rsidRPr="00135FA5">
        <w:rPr>
          <w:rFonts w:eastAsiaTheme="minorEastAsia" w:cs="Arial"/>
        </w:rPr>
        <w:t>Medical record numbers</w:t>
      </w:r>
    </w:p>
    <w:p w:rsidR="00DA10F6" w:rsidRPr="00135FA5" w:rsidP="0003575B" w14:paraId="40049253" w14:textId="77777777">
      <w:pPr>
        <w:numPr>
          <w:ilvl w:val="0"/>
          <w:numId w:val="38"/>
        </w:numPr>
        <w:spacing w:before="0" w:after="0" w:line="276" w:lineRule="auto"/>
        <w:ind w:left="1080" w:firstLine="0"/>
        <w:rPr>
          <w:rFonts w:eastAsiaTheme="minorEastAsia" w:cs="Arial"/>
        </w:rPr>
      </w:pPr>
      <w:r w:rsidRPr="00135FA5">
        <w:rPr>
          <w:rFonts w:eastAsiaTheme="minorEastAsia" w:cs="Arial"/>
        </w:rPr>
        <w:t>Health plan beneficiary numbers</w:t>
      </w:r>
    </w:p>
    <w:p w:rsidR="00DA10F6" w:rsidRPr="00135FA5" w:rsidP="0003575B" w14:paraId="0A6E5BF0" w14:textId="77777777">
      <w:pPr>
        <w:numPr>
          <w:ilvl w:val="0"/>
          <w:numId w:val="38"/>
        </w:numPr>
        <w:spacing w:before="0" w:after="0" w:line="276" w:lineRule="auto"/>
        <w:ind w:left="1080" w:firstLine="0"/>
        <w:rPr>
          <w:rFonts w:eastAsiaTheme="minorEastAsia" w:cs="Arial"/>
        </w:rPr>
      </w:pPr>
      <w:r w:rsidRPr="00135FA5">
        <w:rPr>
          <w:rFonts w:eastAsiaTheme="minorEastAsia" w:cs="Arial"/>
        </w:rPr>
        <w:t>Account numbers</w:t>
      </w:r>
    </w:p>
    <w:p w:rsidR="00DA10F6" w:rsidRPr="00135FA5" w:rsidP="0003575B" w14:paraId="46C9BB3D" w14:textId="77777777">
      <w:pPr>
        <w:numPr>
          <w:ilvl w:val="0"/>
          <w:numId w:val="38"/>
        </w:numPr>
        <w:spacing w:before="0" w:after="0" w:line="276" w:lineRule="auto"/>
        <w:ind w:left="1080" w:firstLine="0"/>
        <w:rPr>
          <w:rFonts w:eastAsiaTheme="minorEastAsia" w:cs="Arial"/>
        </w:rPr>
      </w:pPr>
      <w:r w:rsidRPr="00135FA5">
        <w:rPr>
          <w:rFonts w:eastAsiaTheme="minorEastAsia" w:cs="Arial"/>
        </w:rPr>
        <w:t>Certificate/license numbers</w:t>
      </w:r>
    </w:p>
    <w:p w:rsidR="00DA10F6" w:rsidRPr="00135FA5" w:rsidP="0003575B" w14:paraId="4420DDB7" w14:textId="77777777">
      <w:pPr>
        <w:numPr>
          <w:ilvl w:val="0"/>
          <w:numId w:val="38"/>
        </w:numPr>
        <w:spacing w:before="0" w:after="0" w:line="276" w:lineRule="auto"/>
        <w:ind w:left="1080" w:firstLine="0"/>
        <w:rPr>
          <w:rFonts w:eastAsiaTheme="minorEastAsia" w:cs="Arial"/>
        </w:rPr>
      </w:pPr>
      <w:r w:rsidRPr="00135FA5">
        <w:rPr>
          <w:rFonts w:eastAsiaTheme="minorEastAsia" w:cs="Arial"/>
        </w:rPr>
        <w:t>Vehicle identifiers and serial numbers, including license plate numbers</w:t>
      </w:r>
    </w:p>
    <w:p w:rsidR="00DA10F6" w:rsidRPr="00135FA5" w:rsidP="0003575B" w14:paraId="3BE6850E" w14:textId="77777777">
      <w:pPr>
        <w:numPr>
          <w:ilvl w:val="0"/>
          <w:numId w:val="38"/>
        </w:numPr>
        <w:spacing w:before="0" w:after="0" w:line="276" w:lineRule="auto"/>
        <w:ind w:left="1080" w:firstLine="0"/>
        <w:rPr>
          <w:rFonts w:eastAsiaTheme="minorEastAsia" w:cs="Arial"/>
        </w:rPr>
      </w:pPr>
      <w:r w:rsidRPr="00135FA5">
        <w:rPr>
          <w:rFonts w:eastAsiaTheme="minorEastAsia" w:cs="Arial"/>
        </w:rPr>
        <w:t>Device identifiers and serial numbers</w:t>
      </w:r>
    </w:p>
    <w:p w:rsidR="00DA10F6" w:rsidRPr="00135FA5" w:rsidP="0003575B" w14:paraId="158B402E" w14:textId="77777777">
      <w:pPr>
        <w:numPr>
          <w:ilvl w:val="0"/>
          <w:numId w:val="38"/>
        </w:numPr>
        <w:spacing w:before="0" w:after="0" w:line="276" w:lineRule="auto"/>
        <w:ind w:left="1080" w:firstLine="0"/>
        <w:rPr>
          <w:rFonts w:eastAsiaTheme="minorEastAsia" w:cs="Arial"/>
        </w:rPr>
      </w:pPr>
      <w:r w:rsidRPr="00135FA5">
        <w:rPr>
          <w:rFonts w:eastAsiaTheme="minorEastAsia" w:cs="Arial"/>
        </w:rPr>
        <w:t>Web Universal Resource Locators (URLs)</w:t>
      </w:r>
    </w:p>
    <w:p w:rsidR="00DA10F6" w:rsidRPr="00135FA5" w:rsidP="0003575B" w14:paraId="1A29F33D" w14:textId="77777777">
      <w:pPr>
        <w:numPr>
          <w:ilvl w:val="0"/>
          <w:numId w:val="38"/>
        </w:numPr>
        <w:spacing w:before="0" w:after="0" w:line="276" w:lineRule="auto"/>
        <w:ind w:left="1080" w:firstLine="0"/>
        <w:rPr>
          <w:rFonts w:eastAsiaTheme="minorEastAsia" w:cs="Arial"/>
        </w:rPr>
      </w:pPr>
      <w:r w:rsidRPr="00135FA5">
        <w:rPr>
          <w:rFonts w:eastAsiaTheme="minorEastAsia" w:cs="Arial"/>
        </w:rPr>
        <w:t>Internet Protocol (IP) addresses</w:t>
      </w:r>
    </w:p>
    <w:p w:rsidR="00DA10F6" w:rsidRPr="00135FA5" w:rsidP="0003575B" w14:paraId="56652C6C" w14:textId="77777777">
      <w:pPr>
        <w:numPr>
          <w:ilvl w:val="0"/>
          <w:numId w:val="38"/>
        </w:numPr>
        <w:spacing w:before="0" w:after="0" w:line="276" w:lineRule="auto"/>
        <w:ind w:left="1080" w:firstLine="0"/>
        <w:rPr>
          <w:rFonts w:eastAsiaTheme="minorEastAsia" w:cs="Arial"/>
        </w:rPr>
      </w:pPr>
      <w:r w:rsidRPr="00135FA5">
        <w:rPr>
          <w:rFonts w:eastAsiaTheme="minorEastAsia" w:cs="Arial"/>
        </w:rPr>
        <w:t xml:space="preserve">Biometric identifiers, including finger and </w:t>
      </w:r>
      <w:r w:rsidRPr="00135FA5">
        <w:rPr>
          <w:rFonts w:eastAsiaTheme="minorEastAsia" w:cs="Arial"/>
        </w:rPr>
        <w:t>voice prints</w:t>
      </w:r>
    </w:p>
    <w:p w:rsidR="00DA10F6" w:rsidRPr="00135FA5" w:rsidP="0003575B" w14:paraId="02660D18" w14:textId="77777777">
      <w:pPr>
        <w:numPr>
          <w:ilvl w:val="0"/>
          <w:numId w:val="38"/>
        </w:numPr>
        <w:spacing w:before="0" w:after="0" w:line="276" w:lineRule="auto"/>
        <w:ind w:left="1080" w:firstLine="0"/>
        <w:rPr>
          <w:rFonts w:eastAsiaTheme="minorEastAsia" w:cs="Arial"/>
        </w:rPr>
      </w:pPr>
      <w:r w:rsidRPr="00135FA5">
        <w:rPr>
          <w:rFonts w:eastAsiaTheme="minorEastAsia" w:cs="Arial"/>
        </w:rPr>
        <w:t>Full-face photographs and any comparable images</w:t>
      </w:r>
    </w:p>
    <w:p w:rsidR="00DA10F6" w:rsidRPr="00135FA5" w:rsidP="0003575B" w14:paraId="20110DBD" w14:textId="77777777">
      <w:pPr>
        <w:numPr>
          <w:ilvl w:val="0"/>
          <w:numId w:val="38"/>
        </w:numPr>
        <w:spacing w:before="0" w:after="0" w:line="276" w:lineRule="auto"/>
        <w:ind w:left="1080" w:firstLine="0"/>
        <w:rPr>
          <w:rFonts w:eastAsiaTheme="minorEastAsia" w:cs="Arial"/>
        </w:rPr>
      </w:pPr>
      <w:r w:rsidRPr="00135FA5">
        <w:rPr>
          <w:rFonts w:eastAsiaTheme="minorEastAsia" w:cs="Arial"/>
        </w:rPr>
        <w:t>Any other unique identifying number, characteristic or code</w:t>
      </w:r>
    </w:p>
    <w:p w:rsidR="00DA10F6" w:rsidRPr="00135FA5" w:rsidP="00A36895" w14:paraId="4948D218" w14:textId="77777777">
      <w:pPr>
        <w:spacing w:line="276" w:lineRule="auto"/>
        <w:ind w:left="720"/>
        <w:rPr>
          <w:rFonts w:eastAsiaTheme="minorEastAsia" w:cs="Arial"/>
        </w:rPr>
      </w:pPr>
    </w:p>
    <w:p w:rsidR="00DA10F6" w:rsidRPr="00135FA5" w:rsidP="00DA10F6" w14:paraId="09B0C9AD" w14:textId="6B56C583">
      <w:pPr>
        <w:spacing w:line="276" w:lineRule="auto"/>
        <w:ind w:left="720"/>
        <w:rPr>
          <w:rFonts w:eastAsiaTheme="minorEastAsia" w:cs="Arial"/>
        </w:rPr>
      </w:pPr>
      <w:r w:rsidRPr="00DA10F6">
        <w:rPr>
          <w:rFonts w:eastAsiaTheme="minorEastAsia" w:cs="Arial"/>
          <w:b/>
          <w:bCs/>
        </w:rPr>
        <w:t>Redaction</w:t>
      </w:r>
      <w:r w:rsidRPr="00135FA5">
        <w:rPr>
          <w:rFonts w:eastAsiaTheme="minorEastAsia" w:cs="Arial"/>
        </w:rPr>
        <w:t xml:space="preserve"> – Masking or deletion of data from a document</w:t>
      </w:r>
      <w:r>
        <w:rPr>
          <w:rFonts w:eastAsiaTheme="minorEastAsia" w:cs="Arial"/>
        </w:rPr>
        <w:t>.</w:t>
      </w:r>
    </w:p>
    <w:p w:rsidR="00DA10F6" w:rsidRPr="00135FA5" w:rsidP="00DA10F6" w14:paraId="5E3594FD" w14:textId="77777777">
      <w:pPr>
        <w:spacing w:line="276" w:lineRule="auto"/>
        <w:ind w:left="720"/>
        <w:rPr>
          <w:rFonts w:cs="Arial"/>
          <w:i/>
          <w:shd w:val="clear" w:color="auto" w:fill="E1F4FF"/>
        </w:rPr>
      </w:pPr>
    </w:p>
    <w:p w:rsidR="00DA10F6" w:rsidP="00DA10F6" w14:paraId="48A18F04" w14:textId="77777777">
      <w:pPr>
        <w:spacing w:line="276" w:lineRule="auto"/>
        <w:ind w:left="720"/>
        <w:rPr>
          <w:rFonts w:cs="Arial"/>
        </w:rPr>
      </w:pPr>
      <w:r w:rsidRPr="00DA10F6">
        <w:rPr>
          <w:rFonts w:cs="Arial"/>
          <w:b/>
          <w:bCs/>
        </w:rPr>
        <w:t>Research Authorization</w:t>
      </w:r>
      <w:r w:rsidRPr="00135FA5">
        <w:rPr>
          <w:rFonts w:cs="Arial"/>
        </w:rPr>
        <w:t xml:space="preserve"> – A detailed document that gives covered entities permission to use protected health information for specified purposes, which are generally other than treatment, payment, or healthcare operations, or to disclose protected health information to a third party specified by the individual.</w:t>
      </w:r>
    </w:p>
    <w:p w:rsidR="002D52A0" w:rsidRPr="002D52A0" w:rsidP="002D52A0" w14:paraId="5CB4CF37" w14:textId="554DE08C">
      <w:pPr>
        <w:pStyle w:val="BodyText"/>
        <w:ind w:firstLine="720"/>
      </w:pPr>
      <w:r>
        <w:t>The terms “subject” and “participant” where applicable are interchangeable.</w:t>
      </w:r>
    </w:p>
    <w:p w:rsidR="001B7499" w:rsidRPr="00763D8C" w:rsidP="00DA7526" w14:paraId="2AA46097" w14:textId="303A015D">
      <w:pPr>
        <w:pStyle w:val="SectionHeading"/>
        <w:numPr>
          <w:ilvl w:val="0"/>
          <w:numId w:val="25"/>
        </w:numPr>
        <w:spacing w:before="240" w:after="240"/>
        <w:ind w:left="720" w:hanging="720"/>
        <w:contextualSpacing w:val="0"/>
        <w:rPr>
          <w:color w:val="365F91" w:themeColor="accent1" w:themeShade="BF"/>
          <w:sz w:val="28"/>
          <w:szCs w:val="28"/>
        </w:rPr>
      </w:pPr>
      <w:r w:rsidRPr="00763D8C">
        <w:rPr>
          <w:color w:val="365F91" w:themeColor="accent1" w:themeShade="BF"/>
          <w:sz w:val="28"/>
          <w:szCs w:val="28"/>
        </w:rPr>
        <w:t>P</w:t>
      </w:r>
      <w:r w:rsidRPr="00763D8C" w:rsidR="00E427FB">
        <w:rPr>
          <w:color w:val="365F91" w:themeColor="accent1" w:themeShade="BF"/>
          <w:sz w:val="28"/>
          <w:szCs w:val="28"/>
        </w:rPr>
        <w:t>rocedure</w:t>
      </w:r>
      <w:r w:rsidRPr="00763D8C">
        <w:rPr>
          <w:color w:val="365F91" w:themeColor="accent1" w:themeShade="BF"/>
          <w:sz w:val="28"/>
          <w:szCs w:val="28"/>
        </w:rPr>
        <w:t xml:space="preserve"> </w:t>
      </w:r>
      <w:bookmarkStart w:id="1" w:name="_Toc427373286"/>
      <w:bookmarkStart w:id="2" w:name="_Toc425171622"/>
      <w:bookmarkStart w:id="3" w:name="_Toc425171625"/>
      <w:bookmarkEnd w:id="0"/>
    </w:p>
    <w:p w:rsidR="006C1F91" w:rsidRPr="00135FA5" w:rsidP="2FC6CE3E" w14:paraId="7DC89864" w14:textId="5C477658">
      <w:pPr>
        <w:spacing w:line="276" w:lineRule="auto"/>
        <w:ind w:left="720"/>
        <w:rPr>
          <w:rFonts w:eastAsiaTheme="minorEastAsia" w:cs="Arial"/>
        </w:rPr>
      </w:pPr>
      <w:r w:rsidRPr="2FC6CE3E" w:rsidR="2FC6CE3E">
        <w:rPr>
          <w:rFonts w:eastAsiaTheme="minorEastAsia" w:cs="Arial"/>
        </w:rPr>
        <w:t xml:space="preserve">All personally identifiable information (PII) should be redacted from participant research records prior to the transmission or transfer of such records to external entities. PII may only be shared externally if: (1) such sharing is allowable per the terms of the executed clinical trial agreement and (2) the trial participant has given permission by means of a signed Research Authorization form (or compound consent form, as applicable) that details what PII will be shared, with whom, and in what circumstances. In all instances, research personnel should limit the amount of PII disclosed to the minimum necessary. </w:t>
      </w:r>
    </w:p>
    <w:p w:rsidR="006C1F91" w:rsidRPr="00135FA5" w:rsidP="00DA7526" w14:paraId="138B20C1" w14:textId="77777777">
      <w:pPr>
        <w:spacing w:line="276" w:lineRule="auto"/>
        <w:ind w:left="720"/>
        <w:rPr>
          <w:rFonts w:eastAsiaTheme="minorEastAsia" w:cs="Arial"/>
          <w:bCs/>
        </w:rPr>
      </w:pPr>
    </w:p>
    <w:p w:rsidR="003A0A64" w:rsidP="00DA7526" w14:paraId="0286FDDE" w14:textId="12A800A0">
      <w:pPr>
        <w:spacing w:line="276" w:lineRule="auto"/>
        <w:ind w:left="720"/>
        <w:rPr>
          <w:rFonts w:eastAsiaTheme="minorEastAsia" w:cs="Arial"/>
          <w:bCs/>
        </w:rPr>
      </w:pPr>
      <w:r w:rsidRPr="00135FA5">
        <w:rPr>
          <w:rFonts w:eastAsiaTheme="minorEastAsia" w:cs="Arial"/>
          <w:bCs/>
        </w:rPr>
        <w:t>Research personnel may assign a code or other means of record identification to allow de-identified information to be re-identified provided that the code or other means of record identification is not derived from or related to information about the participant and is not otherwise capable of being translated to identify the participant. The process and circumstances surrounding re-identification should be carried out in accordance with the protocol, applicable regulations, and local policies.</w:t>
      </w:r>
    </w:p>
    <w:bookmarkEnd w:id="1"/>
    <w:bookmarkEnd w:id="2"/>
    <w:bookmarkEnd w:id="3"/>
    <w:p w:rsidR="00D76CDA" w:rsidRPr="00500698" w:rsidP="00C64BE4" w14:paraId="3399B743" w14:textId="2275B2AE">
      <w:pPr>
        <w:pStyle w:val="SectionHeading"/>
        <w:numPr>
          <w:ilvl w:val="1"/>
          <w:numId w:val="25"/>
        </w:numPr>
        <w:spacing w:line="276" w:lineRule="auto"/>
        <w:contextualSpacing w:val="0"/>
        <w:rPr>
          <w:sz w:val="20"/>
        </w:rPr>
      </w:pPr>
      <w:r w:rsidRPr="00500698">
        <w:rPr>
          <w:sz w:val="20"/>
        </w:rPr>
        <w:t>Training</w:t>
      </w:r>
    </w:p>
    <w:p w:rsidR="00D76CDA" w:rsidRPr="00D76CDA" w:rsidP="00500698" w14:paraId="6D4E9842" w14:textId="317A158E">
      <w:pPr>
        <w:pStyle w:val="SectionHeading"/>
        <w:tabs>
          <w:tab w:val="left" w:pos="1260"/>
        </w:tabs>
        <w:spacing w:before="240" w:after="240"/>
        <w:ind w:left="1080"/>
        <w:contextualSpacing w:val="0"/>
        <w:rPr>
          <w:b w:val="0"/>
          <w:bCs/>
          <w:sz w:val="20"/>
        </w:rPr>
      </w:pPr>
      <w:r w:rsidRPr="00D76CDA">
        <w:rPr>
          <w:b w:val="0"/>
          <w:bCs/>
          <w:sz w:val="20"/>
        </w:rPr>
        <w:t xml:space="preserve">All responsible personnel listed within this SOP will receive training </w:t>
      </w:r>
      <w:r w:rsidRPr="00D76CDA">
        <w:rPr>
          <w:b w:val="0"/>
          <w:bCs/>
          <w:sz w:val="20"/>
        </w:rPr>
        <w:t>appropriate to their role and level of responsibility.</w:t>
      </w:r>
    </w:p>
    <w:p w:rsidR="00DA2A78" w:rsidRPr="00763D8C" w:rsidP="00DA2A78" w14:paraId="700162B5" w14:textId="77777777">
      <w:pPr>
        <w:pStyle w:val="SectionHeading"/>
        <w:numPr>
          <w:ilvl w:val="0"/>
          <w:numId w:val="25"/>
        </w:numPr>
        <w:spacing w:before="240" w:after="240"/>
        <w:ind w:left="720" w:hanging="720"/>
        <w:rPr>
          <w:color w:val="365F91" w:themeColor="accent1" w:themeShade="BF"/>
          <w:sz w:val="28"/>
          <w:szCs w:val="28"/>
        </w:rPr>
      </w:pPr>
      <w:r w:rsidRPr="00763D8C">
        <w:rPr>
          <w:color w:val="365F91" w:themeColor="accent1" w:themeShade="BF"/>
          <w:sz w:val="28"/>
          <w:szCs w:val="28"/>
        </w:rPr>
        <w:t>Roles and Responsibilities</w:t>
      </w:r>
    </w:p>
    <w:p w:rsidR="00DA2A78" w:rsidP="00DA2A78" w14:paraId="0034B491" w14:textId="522CADC0">
      <w:pPr>
        <w:pStyle w:val="BodyText"/>
        <w:numPr>
          <w:ilvl w:val="0"/>
          <w:numId w:val="39"/>
        </w:numPr>
        <w:spacing w:line="276" w:lineRule="auto"/>
        <w:ind w:left="1080"/>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GCP</w:t>
      </w:r>
      <w:r w:rsidR="00E42839">
        <w:rPr>
          <w:rFonts w:cs="Arial"/>
        </w:rPr>
        <w:t>,</w:t>
      </w:r>
      <w:r>
        <w:rPr>
          <w:rFonts w:cs="Arial"/>
        </w:rPr>
        <w:t xml:space="preserve"> Yale policies and applicable governing regulations.</w:t>
      </w:r>
      <w:r w:rsidRPr="00267874">
        <w:rPr>
          <w:rFonts w:cs="Arial"/>
        </w:rPr>
        <w:t xml:space="preserve"> </w:t>
      </w:r>
    </w:p>
    <w:p w:rsidR="00DA2A78" w:rsidP="00DA2A78" w14:paraId="00FFC711" w14:textId="77777777">
      <w:pPr>
        <w:pStyle w:val="BodyText"/>
        <w:spacing w:line="276" w:lineRule="auto"/>
        <w:ind w:left="1080"/>
        <w:jc w:val="both"/>
        <w:rPr>
          <w:rFonts w:cs="Arial"/>
        </w:rPr>
      </w:pPr>
    </w:p>
    <w:p w:rsidR="00DA2A78" w:rsidP="00DA2A78" w14:paraId="6F8486FB" w14:textId="77777777">
      <w:pPr>
        <w:pStyle w:val="BodyText"/>
        <w:spacing w:line="276" w:lineRule="auto"/>
        <w:ind w:left="1080"/>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ensuring appropriately experienced and trained staff are delegated.</w:t>
      </w:r>
    </w:p>
    <w:p w:rsidR="00DA2A78" w:rsidP="00DA2A78" w14:paraId="4A3B2F0D" w14:textId="77777777">
      <w:pPr>
        <w:pStyle w:val="BodyText"/>
        <w:spacing w:line="276" w:lineRule="auto"/>
        <w:ind w:left="720"/>
        <w:jc w:val="both"/>
        <w:rPr>
          <w:rFonts w:cs="Arial"/>
        </w:rPr>
      </w:pPr>
    </w:p>
    <w:p w:rsidR="007F6BC5" w:rsidP="000A506D" w14:paraId="21D0856D" w14:textId="17127E5C">
      <w:pPr>
        <w:pStyle w:val="BodyText"/>
        <w:numPr>
          <w:ilvl w:val="0"/>
          <w:numId w:val="39"/>
        </w:numPr>
        <w:spacing w:line="276" w:lineRule="auto"/>
        <w:ind w:left="1080"/>
        <w:jc w:val="both"/>
        <w:rPr>
          <w:rFonts w:cs="Arial"/>
        </w:rPr>
      </w:pPr>
      <w:r>
        <w:rPr>
          <w:rFonts w:cs="Arial"/>
        </w:rPr>
        <w:t>Sub</w:t>
      </w:r>
      <w:r w:rsidRPr="00491760">
        <w:rPr>
          <w:rFonts w:cs="Arial"/>
        </w:rPr>
        <w:t xml:space="preserve">-investigators and </w:t>
      </w:r>
      <w:r>
        <w:rPr>
          <w:rFonts w:cs="Arial"/>
        </w:rPr>
        <w:t>appropriately</w:t>
      </w:r>
      <w:r w:rsidRPr="00491760">
        <w:rPr>
          <w:rFonts w:cs="Arial"/>
        </w:rPr>
        <w:t xml:space="preserve"> qualified study personnel</w:t>
      </w:r>
      <w:r>
        <w:rPr>
          <w:rFonts w:cs="Arial"/>
        </w:rPr>
        <w:t xml:space="preserve"> </w:t>
      </w:r>
      <w:r w:rsidRPr="00491760">
        <w:rPr>
          <w:rFonts w:cs="Arial"/>
        </w:rPr>
        <w:t>are</w:t>
      </w:r>
      <w:r>
        <w:rPr>
          <w:rFonts w:cs="Arial"/>
        </w:rPr>
        <w:t xml:space="preserve"> able</w:t>
      </w:r>
      <w:r w:rsidRPr="00491760">
        <w:rPr>
          <w:rFonts w:cs="Arial"/>
        </w:rPr>
        <w:t xml:space="preserve"> to conduct study-related duties as authorized by the Principal Investigator in accordance with GCP</w:t>
      </w:r>
      <w:r w:rsidR="00E42839">
        <w:rPr>
          <w:rFonts w:cs="Arial"/>
        </w:rPr>
        <w:t>,</w:t>
      </w:r>
      <w:r w:rsidRPr="00491760">
        <w:rPr>
          <w:rFonts w:cs="Arial"/>
        </w:rPr>
        <w:t xml:space="preserve"> </w:t>
      </w:r>
      <w:r>
        <w:rPr>
          <w:rFonts w:cs="Arial"/>
        </w:rPr>
        <w:t>Yale policies</w:t>
      </w:r>
      <w:r w:rsidR="00E42839">
        <w:rPr>
          <w:rFonts w:cs="Arial"/>
        </w:rPr>
        <w:t>,</w:t>
      </w:r>
      <w:r>
        <w:rPr>
          <w:rFonts w:cs="Arial"/>
        </w:rPr>
        <w:t xml:space="preserve"> and applicable governing regulations</w:t>
      </w:r>
      <w:r w:rsidRPr="00491760">
        <w:rPr>
          <w:rFonts w:cs="Arial"/>
        </w:rPr>
        <w:t>.</w:t>
      </w:r>
      <w:r>
        <w:rPr>
          <w:rFonts w:cs="Arial"/>
        </w:rPr>
        <w:t xml:space="preserve"> </w:t>
      </w:r>
    </w:p>
    <w:p w:rsidR="007F6BC5" w:rsidP="007F6BC5" w14:paraId="7E9BF3E8" w14:textId="77777777">
      <w:pPr>
        <w:pStyle w:val="BodyText"/>
        <w:spacing w:line="276" w:lineRule="auto"/>
        <w:ind w:left="1080"/>
        <w:jc w:val="both"/>
        <w:rPr>
          <w:rFonts w:cs="Arial"/>
        </w:rPr>
      </w:pPr>
    </w:p>
    <w:p w:rsidR="00DA2A78" w:rsidRPr="000A506D" w:rsidP="000A506D" w14:paraId="5BD80E6D" w14:textId="2E2D7AE6">
      <w:pPr>
        <w:pStyle w:val="BodyText"/>
        <w:numPr>
          <w:ilvl w:val="0"/>
          <w:numId w:val="39"/>
        </w:numPr>
        <w:spacing w:line="276" w:lineRule="auto"/>
        <w:ind w:left="1080"/>
        <w:jc w:val="both"/>
        <w:rPr>
          <w:rFonts w:cs="Arial"/>
        </w:rPr>
      </w:pPr>
      <w:r>
        <w:rPr>
          <w:rFonts w:cs="Arial"/>
        </w:rPr>
        <w:t>The following study personnel may be delegated study tasks with documentation of appropriate training and experience:</w:t>
      </w:r>
    </w:p>
    <w:p w:rsidR="00DA2A78" w:rsidRPr="00DA2A78" w:rsidP="00DA2A78" w14:paraId="0AAE45AA" w14:textId="77777777">
      <w:pPr>
        <w:pStyle w:val="ListParagraph"/>
        <w:numPr>
          <w:ilvl w:val="0"/>
          <w:numId w:val="41"/>
        </w:numPr>
        <w:spacing w:line="276" w:lineRule="auto"/>
        <w:rPr>
          <w:rFonts w:eastAsiaTheme="minorEastAsia" w:cs="Arial"/>
        </w:rPr>
      </w:pPr>
      <w:r w:rsidRPr="00DA2A78">
        <w:rPr>
          <w:rFonts w:eastAsiaTheme="minorEastAsia" w:cs="Arial"/>
        </w:rPr>
        <w:t>Sub-investigators (Sub-I)</w:t>
      </w:r>
    </w:p>
    <w:p w:rsidR="00DA2A78" w:rsidP="00DA2A78" w14:paraId="2B4FFF7C" w14:textId="3B866092">
      <w:pPr>
        <w:pStyle w:val="ListParagraph"/>
        <w:numPr>
          <w:ilvl w:val="0"/>
          <w:numId w:val="41"/>
        </w:numPr>
        <w:spacing w:line="276" w:lineRule="auto"/>
        <w:rPr>
          <w:rFonts w:eastAsiaTheme="minorEastAsia" w:cs="Arial"/>
        </w:rPr>
      </w:pPr>
      <w:r w:rsidRPr="00DA2A78">
        <w:rPr>
          <w:rFonts w:eastAsiaTheme="minorEastAsia" w:cs="Arial"/>
        </w:rPr>
        <w:t>Clinical Research Coordinator (CRC)</w:t>
      </w:r>
    </w:p>
    <w:p w:rsidR="00782E96" w:rsidRPr="00DA2A78" w:rsidP="00DA2A78" w14:paraId="4D5F077F" w14:textId="7D8DF497">
      <w:pPr>
        <w:pStyle w:val="ListParagraph"/>
        <w:numPr>
          <w:ilvl w:val="0"/>
          <w:numId w:val="41"/>
        </w:numPr>
        <w:spacing w:line="276" w:lineRule="auto"/>
        <w:rPr>
          <w:rFonts w:eastAsiaTheme="minorEastAsia" w:cs="Arial"/>
        </w:rPr>
      </w:pPr>
      <w:r>
        <w:rPr>
          <w:rFonts w:eastAsiaTheme="minorEastAsia" w:cs="Arial"/>
        </w:rPr>
        <w:t>Nurse Clinical Research Coordinator</w:t>
      </w:r>
      <w:r w:rsidR="009F027C">
        <w:rPr>
          <w:rFonts w:eastAsiaTheme="minorEastAsia" w:cs="Arial"/>
        </w:rPr>
        <w:t xml:space="preserve"> (NCRC)</w:t>
      </w:r>
    </w:p>
    <w:p w:rsidR="00DA2A78" w:rsidP="00DA2A78" w14:paraId="37090766" w14:textId="4424AF01">
      <w:pPr>
        <w:pStyle w:val="ListParagraph"/>
        <w:numPr>
          <w:ilvl w:val="0"/>
          <w:numId w:val="41"/>
        </w:numPr>
        <w:spacing w:line="276" w:lineRule="auto"/>
        <w:rPr>
          <w:rFonts w:eastAsiaTheme="minorEastAsia" w:cs="Arial"/>
        </w:rPr>
      </w:pPr>
      <w:r w:rsidRPr="00DA2A78">
        <w:rPr>
          <w:rFonts w:eastAsiaTheme="minorEastAsia" w:cs="Arial"/>
        </w:rPr>
        <w:t>Research Assistant</w:t>
      </w:r>
    </w:p>
    <w:p w:rsidR="009F027C" w:rsidRPr="00DA2A78" w:rsidP="00DA2A78" w14:paraId="69231F61" w14:textId="40E91BE4">
      <w:pPr>
        <w:pStyle w:val="ListParagraph"/>
        <w:numPr>
          <w:ilvl w:val="0"/>
          <w:numId w:val="41"/>
        </w:numPr>
        <w:spacing w:line="276" w:lineRule="auto"/>
        <w:rPr>
          <w:rFonts w:eastAsiaTheme="minorEastAsia" w:cs="Arial"/>
        </w:rPr>
      </w:pPr>
      <w:r>
        <w:rPr>
          <w:rFonts w:eastAsiaTheme="minorEastAsia" w:cs="Arial"/>
        </w:rPr>
        <w:t>Clinic Staff</w:t>
      </w:r>
    </w:p>
    <w:p w:rsidR="00DA2A78" w:rsidRPr="00DA2A78" w:rsidP="00DA2A78" w14:paraId="706D953D" w14:textId="77777777">
      <w:pPr>
        <w:pStyle w:val="ListParagraph"/>
        <w:numPr>
          <w:ilvl w:val="0"/>
          <w:numId w:val="41"/>
        </w:numPr>
        <w:spacing w:line="276" w:lineRule="auto"/>
        <w:rPr>
          <w:rFonts w:eastAsiaTheme="minorEastAsia" w:cs="Arial"/>
        </w:rPr>
      </w:pPr>
      <w:r w:rsidRPr="00DA2A78">
        <w:rPr>
          <w:rFonts w:eastAsiaTheme="minorEastAsia" w:cs="Arial"/>
        </w:rPr>
        <w:t xml:space="preserve">Other </w:t>
      </w:r>
      <w:r w:rsidRPr="00DA2A78">
        <w:rPr>
          <w:rFonts w:eastAsiaTheme="minorEastAsia" w:cs="Arial"/>
        </w:rPr>
        <w:t>Research Staff</w:t>
      </w:r>
    </w:p>
    <w:p w:rsidR="004773EB" w:rsidRPr="00763D8C" w:rsidP="007567A5" w14:paraId="6F26FC6E" w14:textId="72C7B915">
      <w:pPr>
        <w:pStyle w:val="SectionHeading"/>
        <w:numPr>
          <w:ilvl w:val="0"/>
          <w:numId w:val="25"/>
        </w:numPr>
        <w:spacing w:before="240" w:after="240"/>
        <w:ind w:left="720" w:hanging="720"/>
        <w:contextualSpacing w:val="0"/>
        <w:rPr>
          <w:color w:val="365F91" w:themeColor="accent1" w:themeShade="BF"/>
          <w:sz w:val="28"/>
          <w:szCs w:val="28"/>
        </w:rPr>
      </w:pPr>
      <w:r w:rsidRPr="00763D8C">
        <w:rPr>
          <w:color w:val="365F91" w:themeColor="accent1" w:themeShade="BF"/>
          <w:sz w:val="28"/>
          <w:szCs w:val="28"/>
        </w:rPr>
        <w:t xml:space="preserve">Contact Information </w:t>
      </w:r>
    </w:p>
    <w:p w:rsidR="004773EB" w:rsidP="00BD62AB" w14:paraId="45AF0671" w14:textId="1F5B54D8">
      <w:pPr>
        <w:pStyle w:val="BodyText"/>
        <w:spacing w:after="240"/>
        <w:ind w:left="720"/>
        <w:contextualSpacing w:val="0"/>
      </w:pPr>
      <w:r>
        <w:t xml:space="preserve">Any exceptions </w:t>
      </w:r>
      <w:r w:rsidR="00BD62AB">
        <w:t xml:space="preserve">or questions pertaining </w:t>
      </w:r>
      <w:r>
        <w:t xml:space="preserve">to this procedure must be presented to </w:t>
      </w:r>
      <w:hyperlink r:id="rId16" w:history="1">
        <w:r w:rsidRPr="00117703">
          <w:rPr>
            <w:rStyle w:val="Hyperlink"/>
          </w:rPr>
          <w:t>ycci.sop@yale.edu</w:t>
        </w:r>
      </w:hyperlink>
      <w:r w:rsidR="00A41B44">
        <w:rPr>
          <w:rStyle w:val="Hyperlink"/>
        </w:rPr>
        <w:t>.</w:t>
      </w:r>
    </w:p>
    <w:p w:rsidR="00B12CC9" w:rsidRPr="00763D8C" w:rsidP="00B12CC9" w14:paraId="5DAFF2BD" w14:textId="0F1ED134">
      <w:pPr>
        <w:pStyle w:val="SectionHeading"/>
        <w:numPr>
          <w:ilvl w:val="0"/>
          <w:numId w:val="25"/>
        </w:numPr>
        <w:ind w:left="720" w:hanging="720"/>
        <w:contextualSpacing w:val="0"/>
        <w:rPr>
          <w:color w:val="365F91" w:themeColor="accent1" w:themeShade="BF"/>
          <w:sz w:val="28"/>
          <w:szCs w:val="28"/>
        </w:rPr>
      </w:pPr>
      <w:r w:rsidRPr="00763D8C">
        <w:rPr>
          <w:color w:val="365F91" w:themeColor="accent1" w:themeShade="BF"/>
          <w:sz w:val="28"/>
          <w:szCs w:val="28"/>
        </w:rPr>
        <w:t>Related Information</w:t>
      </w:r>
    </w:p>
    <w:p w:rsidR="00B12CC9" w:rsidP="00B12CC9" w14:paraId="1A9C84F5" w14:textId="2D339004">
      <w:pPr>
        <w:pStyle w:val="SectionHeading"/>
        <w:spacing w:before="240" w:line="276" w:lineRule="auto"/>
        <w:ind w:left="720"/>
        <w:contextualSpacing w:val="0"/>
        <w:rPr>
          <w:b w:val="0"/>
          <w:bCs/>
          <w:sz w:val="20"/>
          <w:szCs w:val="16"/>
        </w:rPr>
      </w:pPr>
      <w:r>
        <w:rPr>
          <w:b w:val="0"/>
          <w:bCs/>
          <w:sz w:val="20"/>
          <w:szCs w:val="16"/>
        </w:rPr>
        <w:t>This section identifies applicable regulations, guidances, and policies related to this procedure.</w:t>
      </w:r>
    </w:p>
    <w:p w:rsidR="002B545B" w:rsidRPr="002B545B" w:rsidP="00B12CC9" w14:paraId="537DE4B6" w14:textId="326134FB">
      <w:pPr>
        <w:pStyle w:val="SectionHeading"/>
        <w:spacing w:before="240" w:line="276" w:lineRule="auto"/>
        <w:ind w:left="720"/>
        <w:contextualSpacing w:val="0"/>
        <w:rPr>
          <w:sz w:val="20"/>
          <w:szCs w:val="16"/>
        </w:rPr>
      </w:pPr>
      <w:r w:rsidRPr="002B545B">
        <w:rPr>
          <w:sz w:val="20"/>
          <w:szCs w:val="16"/>
        </w:rPr>
        <w:t>7.1 U.S. Department of Health &amp; Human Services</w:t>
      </w:r>
    </w:p>
    <w:p w:rsidR="00A3494B" w:rsidRPr="00471695" w:rsidP="00157CD1" w14:paraId="6E11A6C5" w14:textId="18588885">
      <w:pPr>
        <w:pStyle w:val="BodyText"/>
        <w:numPr>
          <w:ilvl w:val="0"/>
          <w:numId w:val="13"/>
        </w:numPr>
        <w:spacing w:before="120" w:line="276" w:lineRule="auto"/>
        <w:contextualSpacing w:val="0"/>
        <w:rPr>
          <w:rFonts w:eastAsia="Arial" w:cs="Arial"/>
        </w:rPr>
      </w:pPr>
      <w:hyperlink r:id="rId17" w:history="1">
        <w:r w:rsidRPr="00471695" w:rsidR="004A2FA3">
          <w:rPr>
            <w:rStyle w:val="Hyperlink"/>
            <w:rFonts w:eastAsia="Arial" w:cs="Arial"/>
          </w:rPr>
          <w:t>U.S. Department of Health &amp; Human Services (HHS), 45 CFR 164.502, Uses and disclosures of protected health information: general rules</w:t>
        </w:r>
      </w:hyperlink>
    </w:p>
    <w:p w:rsidR="00A3494B" w:rsidP="00157CD1" w14:paraId="5ECA1A29" w14:textId="263F3CA5">
      <w:pPr>
        <w:pStyle w:val="BodyText"/>
        <w:numPr>
          <w:ilvl w:val="0"/>
          <w:numId w:val="13"/>
        </w:numPr>
        <w:spacing w:before="120" w:line="276" w:lineRule="auto"/>
        <w:contextualSpacing w:val="0"/>
        <w:rPr>
          <w:rFonts w:eastAsia="Arial" w:cs="Arial"/>
        </w:rPr>
      </w:pPr>
      <w:hyperlink r:id="rId18" w:history="1">
        <w:r w:rsidRPr="00471695" w:rsidR="004A2FA3">
          <w:rPr>
            <w:rStyle w:val="Hyperlink"/>
            <w:rFonts w:eastAsia="Arial" w:cs="Arial"/>
          </w:rPr>
          <w:t>U.S. Department of Health &amp; Human Services (HHS), Guidance Regarding Methods for De-identification of Protected Health Information in Accordance with the Health Insurance Portability and Accountability Act (HIPAA) Privacy Rule</w:t>
        </w:r>
      </w:hyperlink>
      <w:r w:rsidRPr="00471695">
        <w:rPr>
          <w:rFonts w:eastAsia="Arial" w:cs="Arial"/>
        </w:rPr>
        <w:t xml:space="preserve"> </w:t>
      </w:r>
    </w:p>
    <w:p w:rsidR="005D0D01" w:rsidRPr="00471695" w:rsidP="005D0D01" w14:paraId="34178FAF" w14:textId="77777777">
      <w:pPr>
        <w:pStyle w:val="BodyText"/>
        <w:spacing w:before="120" w:line="276" w:lineRule="auto"/>
        <w:ind w:left="1440"/>
        <w:contextualSpacing w:val="0"/>
        <w:rPr>
          <w:rFonts w:eastAsia="Arial" w:cs="Arial"/>
        </w:rPr>
      </w:pPr>
    </w:p>
    <w:p w:rsidR="00DA7526" w:rsidP="00763D8C" w14:paraId="6CDB1A6D" w14:textId="2E28AE2A">
      <w:pPr>
        <w:pStyle w:val="BodyText"/>
        <w:keepNext/>
        <w:numPr>
          <w:ilvl w:val="1"/>
          <w:numId w:val="42"/>
        </w:numPr>
        <w:spacing w:before="120" w:line="276" w:lineRule="auto"/>
        <w:contextualSpacing w:val="0"/>
        <w:rPr>
          <w:rFonts w:eastAsia="Arial" w:cs="Arial"/>
        </w:rPr>
      </w:pPr>
      <w:r>
        <w:t>Additional Regulations, Guidances</w:t>
      </w:r>
      <w:r w:rsidR="00E42839">
        <w:t>,</w:t>
      </w:r>
      <w:r>
        <w:t xml:space="preserve"> and Policies</w:t>
      </w:r>
      <w:r w:rsidR="00844662">
        <w:t xml:space="preserve"> </w:t>
      </w:r>
    </w:p>
    <w:p w:rsidR="00DA7526" w:rsidP="00DA7526" w14:paraId="5CE5FD73" w14:textId="77777777">
      <w:pPr>
        <w:pStyle w:val="BodyText"/>
        <w:numPr>
          <w:ilvl w:val="0"/>
          <w:numId w:val="43"/>
        </w:numPr>
        <w:spacing w:before="120" w:line="276" w:lineRule="auto"/>
        <w:ind w:left="1440"/>
        <w:contextualSpacing w:val="0"/>
        <w:rPr>
          <w:rFonts w:eastAsia="Arial" w:cs="Arial"/>
        </w:rPr>
      </w:pPr>
      <w:hyperlink r:id="rId19" w:history="1">
        <w:r w:rsidRPr="00DA7526" w:rsidR="004A2FA3">
          <w:rPr>
            <w:rStyle w:val="Hyperlink"/>
            <w:rFonts w:eastAsia="Arial" w:cs="Arial"/>
          </w:rPr>
          <w:t>Health Insurance Portability and Accountability Act of 1996 (HIPAA)</w:t>
        </w:r>
      </w:hyperlink>
      <w:r w:rsidRPr="00DA7526" w:rsidR="00A3494B">
        <w:rPr>
          <w:rFonts w:eastAsia="Arial" w:cs="Arial"/>
        </w:rPr>
        <w:t xml:space="preserve"> </w:t>
      </w:r>
    </w:p>
    <w:p w:rsidR="00DA7526" w:rsidP="00DA7526" w14:paraId="2DBAF17A" w14:textId="77777777">
      <w:pPr>
        <w:pStyle w:val="BodyText"/>
        <w:numPr>
          <w:ilvl w:val="0"/>
          <w:numId w:val="43"/>
        </w:numPr>
        <w:spacing w:before="120" w:line="276" w:lineRule="auto"/>
        <w:ind w:left="1440"/>
        <w:contextualSpacing w:val="0"/>
        <w:rPr>
          <w:rFonts w:eastAsia="Arial" w:cs="Arial"/>
        </w:rPr>
      </w:pPr>
      <w:hyperlink r:id="rId20" w:history="1">
        <w:r w:rsidRPr="00DA7526" w:rsidR="004A2FA3">
          <w:rPr>
            <w:rStyle w:val="Hyperlink"/>
            <w:rFonts w:eastAsiaTheme="minorEastAsia" w:cs="Arial"/>
          </w:rPr>
          <w:t>OMB Memorandum M-07-16, Safeguarding Against and Responding to the Breach of Personally Identifiable Information (May 22, 2007)</w:t>
        </w:r>
      </w:hyperlink>
      <w:r w:rsidRPr="00DA7526" w:rsidR="00A3494B">
        <w:rPr>
          <w:rFonts w:eastAsiaTheme="minorEastAsia" w:cs="Arial"/>
        </w:rPr>
        <w:t xml:space="preserve"> </w:t>
      </w:r>
    </w:p>
    <w:p w:rsidR="00A3494B" w:rsidRPr="00DA7526" w:rsidP="00DA7526" w14:paraId="71A8A0D5" w14:textId="24500ACC">
      <w:pPr>
        <w:pStyle w:val="BodyText"/>
        <w:numPr>
          <w:ilvl w:val="0"/>
          <w:numId w:val="43"/>
        </w:numPr>
        <w:spacing w:before="120" w:line="276" w:lineRule="auto"/>
        <w:ind w:left="1440"/>
        <w:contextualSpacing w:val="0"/>
        <w:rPr>
          <w:rFonts w:eastAsia="Arial" w:cs="Arial"/>
        </w:rPr>
      </w:pPr>
      <w:hyperlink r:id="rId21" w:history="1">
        <w:r w:rsidRPr="00DA7526" w:rsidR="00A25EE2">
          <w:rPr>
            <w:rStyle w:val="Hyperlink"/>
            <w:rFonts w:eastAsia="Arial" w:cs="Arial"/>
          </w:rPr>
          <w:t>Yale HIPAA Privacy Office, HIPAA Procedure 5039 PR.1, De-Identification and Limited Data Set Procedures (October 26, 2017)</w:t>
        </w:r>
      </w:hyperlink>
    </w:p>
    <w:p w:rsidR="00E862D6" w:rsidRPr="00763D8C" w:rsidP="00EF6B34" w14:paraId="2246D93D" w14:textId="77777777">
      <w:pPr>
        <w:pStyle w:val="SectionHeading"/>
        <w:numPr>
          <w:ilvl w:val="0"/>
          <w:numId w:val="25"/>
        </w:numPr>
        <w:spacing w:before="240" w:after="240"/>
        <w:ind w:left="720" w:hanging="720"/>
        <w:contextualSpacing w:val="0"/>
        <w:rPr>
          <w:color w:val="365F91" w:themeColor="accent1" w:themeShade="BF"/>
          <w:sz w:val="28"/>
          <w:szCs w:val="28"/>
        </w:rPr>
      </w:pPr>
      <w:r w:rsidRPr="00763D8C">
        <w:rPr>
          <w:color w:val="365F91" w:themeColor="accent1" w:themeShade="BF"/>
          <w:sz w:val="28"/>
          <w:szCs w:val="28"/>
        </w:rPr>
        <w:t>Reference</w:t>
      </w:r>
      <w:r w:rsidRPr="00763D8C" w:rsidR="00CE6CED">
        <w:rPr>
          <w:color w:val="365F91" w:themeColor="accent1" w:themeShade="BF"/>
          <w:sz w:val="28"/>
          <w:szCs w:val="28"/>
        </w:rPr>
        <w:t xml:space="preserve"> Materials</w:t>
      </w:r>
    </w:p>
    <w:p w:rsidR="00634BCB" w:rsidRPr="00634BCB" w:rsidP="00EF6B34" w14:paraId="63F038E0" w14:textId="31163E95">
      <w:pPr>
        <w:pStyle w:val="SectionHeading"/>
        <w:spacing w:before="240" w:after="240"/>
        <w:ind w:left="720"/>
        <w:contextualSpacing w:val="0"/>
        <w:rPr>
          <w:b w:val="0"/>
          <w:bCs/>
          <w:sz w:val="20"/>
        </w:rPr>
      </w:pPr>
      <w:r w:rsidRPr="00634BCB">
        <w:rPr>
          <w:rFonts w:cs="Arial"/>
          <w:b w:val="0"/>
          <w:bCs/>
          <w:sz w:val="20"/>
        </w:rPr>
        <w:t xml:space="preserve">Reference materials </w:t>
      </w:r>
      <w:r w:rsidRPr="00634BCB">
        <w:rPr>
          <w:rFonts w:cs="Arial"/>
          <w:b w:val="0"/>
          <w:bCs/>
          <w:sz w:val="20"/>
        </w:rPr>
        <w:t>are located in</w:t>
      </w:r>
      <w:r w:rsidRPr="00634BCB">
        <w:rPr>
          <w:rFonts w:cs="Arial"/>
          <w:b w:val="0"/>
          <w:bCs/>
          <w:sz w:val="20"/>
        </w:rPr>
        <w:t xml:space="preserve"> each functional area’s working directory</w:t>
      </w:r>
      <w:r w:rsidR="00500698">
        <w:rPr>
          <w:rFonts w:cs="Arial"/>
          <w:b w:val="0"/>
          <w:bCs/>
          <w:sz w:val="20"/>
        </w:rPr>
        <w:t>.</w:t>
      </w:r>
    </w:p>
    <w:p w:rsidR="003733B9" w:rsidRPr="00135FA5" w:rsidP="00E97AF6" w14:paraId="34E42885" w14:textId="77777777">
      <w:pPr>
        <w:pStyle w:val="BodyText"/>
        <w:numPr>
          <w:ilvl w:val="0"/>
          <w:numId w:val="13"/>
        </w:numPr>
        <w:spacing w:after="240" w:line="276" w:lineRule="auto"/>
        <w:contextualSpacing w:val="0"/>
        <w:rPr>
          <w:rFonts w:eastAsia="Arial" w:cs="Arial"/>
          <w:bCs/>
        </w:rPr>
      </w:pPr>
      <w:r w:rsidRPr="00135FA5">
        <w:rPr>
          <w:rFonts w:eastAsia="Arial" w:cs="Arial"/>
          <w:bCs/>
        </w:rPr>
        <w:t>Guidance Document for Redacting Source Documents</w:t>
      </w:r>
    </w:p>
    <w:p w:rsidR="00E862D6" w:rsidRPr="00763D8C" w:rsidP="00E97AF6" w14:paraId="32092978" w14:textId="77777777">
      <w:pPr>
        <w:pStyle w:val="SectionHeading"/>
        <w:numPr>
          <w:ilvl w:val="0"/>
          <w:numId w:val="25"/>
        </w:numPr>
        <w:spacing w:before="240" w:after="240"/>
        <w:ind w:left="720" w:hanging="720"/>
        <w:contextualSpacing w:val="0"/>
        <w:rPr>
          <w:b w:val="0"/>
          <w:color w:val="365F91" w:themeColor="accent1" w:themeShade="BF"/>
          <w:sz w:val="28"/>
          <w:szCs w:val="28"/>
        </w:rPr>
      </w:pPr>
      <w:r w:rsidRPr="00763D8C">
        <w:rPr>
          <w:color w:val="365F91" w:themeColor="accent1" w:themeShade="BF"/>
          <w:sz w:val="28"/>
          <w:szCs w:val="28"/>
        </w:rPr>
        <w:t xml:space="preserve">Version </w:t>
      </w:r>
      <w:r w:rsidRPr="00763D8C" w:rsidR="00477589">
        <w:rPr>
          <w:color w:val="365F91" w:themeColor="accent1" w:themeShade="BF"/>
          <w:sz w:val="28"/>
          <w:szCs w:val="28"/>
        </w:rPr>
        <w:t>History</w:t>
      </w:r>
    </w:p>
    <w:p w:rsidR="00E862D6" w:rsidP="00E862D6" w14:paraId="16DDC623" w14:textId="62ED3D3A">
      <w:pPr>
        <w:pStyle w:val="BodyText"/>
        <w:numPr>
          <w:ilvl w:val="0"/>
          <w:numId w:val="13"/>
        </w:numPr>
        <w:spacing w:before="0" w:after="0" w:line="276" w:lineRule="auto"/>
        <w:contextualSpacing w:val="0"/>
        <w:rPr>
          <w:rFonts w:cs="Arial"/>
          <w:color w:val="000000"/>
        </w:rPr>
      </w:pPr>
      <w:r w:rsidRPr="007709B1">
        <w:rPr>
          <w:rFonts w:cs="Arial"/>
          <w:b/>
          <w:bCs/>
          <w:color w:val="000000"/>
        </w:rPr>
        <w:t>01/</w:t>
      </w:r>
      <w:r w:rsidR="00AC776A">
        <w:rPr>
          <w:rFonts w:cs="Arial"/>
          <w:b/>
          <w:bCs/>
          <w:color w:val="000000"/>
        </w:rPr>
        <w:t>10</w:t>
      </w:r>
      <w:r w:rsidRPr="007709B1">
        <w:rPr>
          <w:rFonts w:cs="Arial"/>
          <w:b/>
          <w:bCs/>
          <w:color w:val="000000"/>
        </w:rPr>
        <w:t>/2024</w:t>
      </w:r>
      <w:r w:rsidRPr="00E862D6" w:rsidR="00DF0720">
        <w:rPr>
          <w:rFonts w:cs="Arial"/>
          <w:color w:val="000000"/>
        </w:rPr>
        <w:t>: New document (no prior history)</w:t>
      </w:r>
    </w:p>
    <w:p w:rsidR="00763D8C" w:rsidP="00763D8C" w14:paraId="6A60DCDD" w14:textId="77777777">
      <w:pPr>
        <w:pStyle w:val="BodyText"/>
        <w:spacing w:before="0" w:after="0" w:line="276" w:lineRule="auto"/>
        <w:contextualSpacing w:val="0"/>
        <w:rPr>
          <w:rFonts w:cs="Arial"/>
        </w:rPr>
      </w:pPr>
    </w:p>
    <w:p w:rsidR="00763D8C" w:rsidRPr="00763D8C" w:rsidP="00763D8C" w14:paraId="45623080" w14:textId="7E747346">
      <w:pPr>
        <w:rPr>
          <w:szCs w:val="24"/>
        </w:rPr>
      </w:pPr>
      <w:r w:rsidRPr="00825DBD">
        <w:rPr>
          <w:b/>
          <w:bCs/>
          <w:szCs w:val="24"/>
        </w:rPr>
        <w:t xml:space="preserve">Responsible Official: </w:t>
      </w:r>
      <w:r w:rsidRPr="00825DBD">
        <w:rPr>
          <w:b/>
          <w:bCs/>
          <w:szCs w:val="24"/>
        </w:rPr>
        <w:tab/>
      </w:r>
      <w:r w:rsidRPr="00825DBD">
        <w:rPr>
          <w:b/>
          <w:bCs/>
          <w:szCs w:val="24"/>
        </w:rPr>
        <w:tab/>
      </w:r>
      <w:r>
        <w:t>Co-Directors</w:t>
      </w:r>
    </w:p>
    <w:p w:rsidR="00763D8C" w:rsidRPr="00825DBD" w:rsidP="00763D8C" w14:paraId="40F4BBAA" w14:textId="1DE06A7E">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763D8C" w:rsidRPr="00825DBD" w:rsidP="00763D8C" w14:paraId="07D049A5" w14:textId="77777777">
      <w:pPr>
        <w:rPr>
          <w:szCs w:val="24"/>
        </w:rPr>
      </w:pPr>
      <w:r w:rsidRPr="00825DBD">
        <w:rPr>
          <w:b/>
          <w:bCs/>
          <w:szCs w:val="24"/>
        </w:rPr>
        <w:t xml:space="preserve">Date of Origin: </w:t>
      </w:r>
      <w:r w:rsidRPr="00825DBD">
        <w:rPr>
          <w:b/>
          <w:bCs/>
          <w:szCs w:val="24"/>
        </w:rPr>
        <w:tab/>
      </w:r>
      <w:r w:rsidRPr="00825DBD">
        <w:rPr>
          <w:b/>
          <w:bCs/>
          <w:szCs w:val="24"/>
        </w:rPr>
        <w:tab/>
      </w:r>
      <w:r>
        <w:t>01/30/2024</w:t>
      </w:r>
    </w:p>
    <w:p w:rsidR="00763D8C" w:rsidRPr="00825DBD" w:rsidP="00763D8C" w14:paraId="5CA5ED19"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01/30/2024</w:t>
      </w:r>
      <w:r w:rsidRPr="00825DBD">
        <w:fldChar w:fldCharType="end"/>
      </w:r>
    </w:p>
    <w:p w:rsidR="00763D8C" w:rsidRPr="00E862D6" w:rsidP="00763D8C" w14:paraId="3A935370" w14:textId="77777777">
      <w:pPr>
        <w:pStyle w:val="BodyText"/>
        <w:spacing w:before="0" w:after="0" w:line="276" w:lineRule="auto"/>
        <w:contextualSpacing w:val="0"/>
        <w:rPr>
          <w:rFonts w:cs="Arial"/>
          <w:color w:val="000000"/>
        </w:rPr>
      </w:pPr>
    </w:p>
    <w:sectPr w:rsidSect="00641FF8">
      <w:headerReference w:type="default" r:id="rId22"/>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F555D" w14:paraId="5832895C" w14:textId="77777777">
      <w:pPr>
        <w:spacing w:before="0" w:after="0"/>
      </w:pPr>
      <w:r>
        <w:separator/>
      </w:r>
    </w:p>
  </w:endnote>
  <w:endnote w:type="continuationSeparator" w:id="1">
    <w:p w:rsidR="00FF555D" w14:paraId="2E9D5A71"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F555D" w14:paraId="2116E0EC" w14:textId="77777777">
      <w:pPr>
        <w:spacing w:before="0" w:after="0"/>
      </w:pPr>
      <w:r>
        <w:separator/>
      </w:r>
    </w:p>
  </w:footnote>
  <w:footnote w:type="continuationSeparator" w:id="1">
    <w:p w:rsidR="00FF555D" w14:paraId="1CD43161"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Look w:val="06A0"/>
    </w:tblPr>
    <w:tblGrid>
      <w:gridCol w:w="3120"/>
      <w:gridCol w:w="3120"/>
      <w:gridCol w:w="3120"/>
    </w:tblGrid>
    <w:tr w14:paraId="370D6095" w:rsidTr="2FC6CE3E">
      <w:tblPrEx>
        <w:tblW w:w="0" w:type="auto"/>
        <w:tblLook w:val="06A0"/>
      </w:tblPrEx>
      <w:trPr>
        <w:trHeight w:val="300"/>
      </w:trPr>
      <w:tc>
        <w:tcPr>
          <w:tcW w:w="3120" w:type="dxa"/>
        </w:tcPr>
        <w:p w:rsidR="2FC6CE3E" w:rsidP="2FC6CE3E" w14:paraId="4D9184AD" w14:textId="08B3672C">
          <w:pPr>
            <w:pStyle w:val="Header"/>
            <w:bidi w:val="0"/>
            <w:ind w:left="-115"/>
            <w:jc w:val="left"/>
          </w:pPr>
        </w:p>
      </w:tc>
      <w:tc>
        <w:tcPr>
          <w:tcW w:w="3120" w:type="dxa"/>
        </w:tcPr>
        <w:p w:rsidR="2FC6CE3E" w:rsidP="2FC6CE3E" w14:paraId="4C04ACD7" w14:textId="5C9E999F">
          <w:pPr>
            <w:pStyle w:val="Header"/>
            <w:bidi w:val="0"/>
            <w:jc w:val="center"/>
          </w:pPr>
        </w:p>
      </w:tc>
      <w:tc>
        <w:tcPr>
          <w:tcW w:w="3120" w:type="dxa"/>
        </w:tcPr>
        <w:p w:rsidR="2FC6CE3E" w:rsidP="2FC6CE3E" w14:paraId="2318615E" w14:textId="231A1F5E">
          <w:pPr>
            <w:pStyle w:val="Header"/>
            <w:bidi w:val="0"/>
            <w:ind w:right="-115"/>
            <w:jc w:val="right"/>
          </w:pPr>
        </w:p>
      </w:tc>
    </w:tr>
  </w:tbl>
  <w:p w:rsidR="2FC6CE3E" w:rsidP="2FC6CE3E" w14:paraId="4D5A5617" w14:textId="179ACC6F">
    <w:pPr>
      <w:pStyle w:val="Header"/>
      <w:bidi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3D8C" w:rsidP="00763D8C" w14:paraId="0D580CE1" w14:textId="77777777">
    <w:pPr>
      <w:pStyle w:val="DocTitle"/>
    </w:pPr>
    <w:r>
      <w:rPr>
        <w:noProof/>
      </w:rPr>
      <w:drawing>
        <wp:inline distT="0" distB="0" distL="0" distR="0">
          <wp:extent cx="4432300" cy="317500"/>
          <wp:effectExtent l="0" t="0" r="0" b="0"/>
          <wp:docPr id="326313885" name="Picture 32631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13885"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C95AA2" w:rsidRPr="00763D8C" w:rsidP="00763D8C" w14:paraId="01E7978A" w14:textId="32DB1F8E">
    <w:pPr>
      <w:pStyle w:val="DocTitle"/>
      <w:rPr>
        <w:color w:val="17365D" w:themeColor="text2" w:themeShade="BF"/>
      </w:rPr>
    </w:pPr>
    <w:r w:rsidRPr="2FC6CE3E" w:rsidR="2FC6CE3E">
      <w:rPr>
        <w:color w:val="17365D" w:themeColor="text2" w:themeShade="BF" w:themeTint="FF"/>
      </w:rPr>
      <w:t>Source Records Redaction -1202- Procedure</w:t>
    </w:r>
  </w:p>
  <w:p w:rsidR="00C95AA2" w:rsidRPr="00825DBD" w:rsidP="00C95AA2" w14:paraId="2CAD4454" w14:textId="22495EEB">
    <w:pPr>
      <w:rPr>
        <w:szCs w:val="24"/>
      </w:rPr>
    </w:pPr>
    <w:r w:rsidRPr="00825DBD">
      <w:rPr>
        <w:b/>
        <w:bCs/>
        <w:szCs w:val="24"/>
      </w:rPr>
      <w:t>R</w:t>
    </w:r>
    <w:r w:rsidRPr="00825DBD">
      <w:rPr>
        <w:b/>
        <w:bCs/>
        <w:szCs w:val="24"/>
      </w:rPr>
      <w:t>esponsible Office:</w:t>
    </w:r>
    <w:r w:rsidRPr="00825DBD">
      <w:rPr>
        <w:b/>
        <w:bCs/>
        <w:szCs w:val="24"/>
      </w:rPr>
      <w:tab/>
    </w:r>
    <w:r w:rsidRPr="00825DBD">
      <w:rPr>
        <w:b/>
        <w:bCs/>
        <w:szCs w:val="24"/>
      </w:rPr>
      <w:tab/>
    </w:r>
    <w:r w:rsidR="00DF1340">
      <w:t>YCCI</w:t>
    </w:r>
  </w:p>
  <w:p w:rsidR="00C95AA2" w:rsidRPr="00825DBD" w:rsidP="00C95AA2" w14:paraId="72510119" w14:textId="2BBC44CD">
    <w:pPr>
      <w:rPr>
        <w:b/>
        <w:bCs/>
        <w:szCs w:val="24"/>
      </w:rPr>
    </w:pPr>
    <w:r w:rsidRPr="00825DBD">
      <w:rPr>
        <w:b/>
        <w:bCs/>
        <w:szCs w:val="24"/>
      </w:rPr>
      <w:t>Policy Sponsor:</w:t>
    </w:r>
    <w:r w:rsidRPr="00825DBD">
      <w:rPr>
        <w:b/>
        <w:bCs/>
        <w:szCs w:val="24"/>
      </w:rPr>
      <w:tab/>
    </w:r>
    <w:r w:rsidRPr="00825DBD">
      <w:rPr>
        <w:b/>
        <w:bCs/>
        <w:szCs w:val="24"/>
      </w:rPr>
      <w:tab/>
    </w:r>
    <w:r w:rsidR="00DF1340">
      <w:t>Manuel Avedissian, Allison Gavaletz</w:t>
    </w:r>
  </w:p>
  <w:p w:rsidR="003F2A14" w:rsidRPr="003F2A14" w:rsidP="003E256D" w14:paraId="1802A430" w14:textId="4A2295CC">
    <w:pPr>
      <w:pBdr>
        <w:bottom w:val="single" w:sz="4" w:space="1" w:color="auto"/>
      </w:pBd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01/30/2024</w:t>
    </w:r>
    <w:r w:rsidRPr="00825DBD">
      <w:fldChar w:fldCharType="end"/>
    </w:r>
    <w: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Look w:val="06A0"/>
    </w:tblPr>
    <w:tblGrid>
      <w:gridCol w:w="3120"/>
      <w:gridCol w:w="3120"/>
      <w:gridCol w:w="3120"/>
    </w:tblGrid>
    <w:tr w14:paraId="77FF77D1" w:rsidTr="2FC6CE3E">
      <w:tblPrEx>
        <w:tblW w:w="0" w:type="auto"/>
        <w:tblLook w:val="06A0"/>
      </w:tblPrEx>
      <w:trPr>
        <w:trHeight w:val="300"/>
      </w:trPr>
      <w:tc>
        <w:tcPr>
          <w:tcW w:w="3120" w:type="dxa"/>
        </w:tcPr>
        <w:p w:rsidR="2FC6CE3E" w:rsidP="2FC6CE3E" w14:paraId="760BEC37" w14:textId="57C1DEB4">
          <w:pPr>
            <w:pStyle w:val="Header"/>
            <w:bidi w:val="0"/>
            <w:ind w:left="-115"/>
            <w:jc w:val="left"/>
          </w:pPr>
        </w:p>
      </w:tc>
      <w:tc>
        <w:tcPr>
          <w:tcW w:w="3120" w:type="dxa"/>
        </w:tcPr>
        <w:p w:rsidR="2FC6CE3E" w:rsidP="2FC6CE3E" w14:paraId="3C14A606" w14:textId="33B0EFFE">
          <w:pPr>
            <w:pStyle w:val="Header"/>
            <w:bidi w:val="0"/>
            <w:jc w:val="center"/>
          </w:pPr>
        </w:p>
      </w:tc>
      <w:tc>
        <w:tcPr>
          <w:tcW w:w="3120" w:type="dxa"/>
        </w:tcPr>
        <w:p w:rsidR="2FC6CE3E" w:rsidP="2FC6CE3E" w14:paraId="73F051A4" w14:textId="1B1E1BD6">
          <w:pPr>
            <w:pStyle w:val="Header"/>
            <w:bidi w:val="0"/>
            <w:ind w:right="-115"/>
            <w:jc w:val="right"/>
          </w:pPr>
        </w:p>
      </w:tc>
    </w:tr>
  </w:tbl>
  <w:p w:rsidR="2FC6CE3E" w:rsidP="2FC6CE3E" w14:paraId="47E68A22" w14:textId="100E5B29">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C541D4"/>
    <w:multiLevelType w:val="hybridMultilevel"/>
    <w:tmpl w:val="65B0663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15:restartNumberingAfterBreak="0">
    <w:nsid w:val="074A4B82"/>
    <w:multiLevelType w:val="hybridMultilevel"/>
    <w:tmpl w:val="FAD2FC9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1DDA6BF0"/>
    <w:multiLevelType w:val="multilevel"/>
    <w:tmpl w:val="5192ABE0"/>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0F13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D666506"/>
    <w:multiLevelType w:val="hybridMultilevel"/>
    <w:tmpl w:val="D39C841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38C76698"/>
    <w:multiLevelType w:val="hybridMultilevel"/>
    <w:tmpl w:val="5EA4279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15:restartNumberingAfterBreak="0">
    <w:nsid w:val="393324F8"/>
    <w:multiLevelType w:val="hybridMultilevel"/>
    <w:tmpl w:val="0282876E"/>
    <w:lvl w:ilvl="0">
      <w:start w:val="1"/>
      <w:numFmt w:val="lowerLetter"/>
      <w:lvlText w:val="%1."/>
      <w:lvlJc w:val="left"/>
      <w:pPr>
        <w:ind w:left="2520" w:hanging="360"/>
      </w:pPr>
      <w:rPr>
        <w:rFonts w:ascii="Arial" w:hAnsi="Arial" w:eastAsiaTheme="minorEastAsia" w:cs="Arial"/>
      </w:rPr>
    </w:lvl>
    <w:lvl w:ilvl="1">
      <w:start w:val="1"/>
      <w:numFmt w:val="lowerRoman"/>
      <w:lvlText w:val="%2."/>
      <w:lvlJc w:val="left"/>
      <w:pPr>
        <w:ind w:left="3240" w:hanging="360"/>
      </w:pPr>
      <w:rPr>
        <w:rFonts w:ascii="Arial" w:hAnsi="Arial" w:eastAsiaTheme="minorEastAsia" w:cs="Arial"/>
      </w:r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0" w15:restartNumberingAfterBreak="0">
    <w:nsid w:val="3CFE1D52"/>
    <w:multiLevelType w:val="hybridMultilevel"/>
    <w:tmpl w:val="F9FCF8B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15:restartNumberingAfterBreak="0">
    <w:nsid w:val="40041E4A"/>
    <w:multiLevelType w:val="multilevel"/>
    <w:tmpl w:val="FF9A7B2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15:restartNumberingAfterBreak="0">
    <w:nsid w:val="457D0E7A"/>
    <w:multiLevelType w:val="hybridMultilevel"/>
    <w:tmpl w:val="6916E9D2"/>
    <w:lvl w:ilvl="0">
      <w:start w:val="1"/>
      <w:numFmt w:val="decimal"/>
      <w:lvlText w:val="%1."/>
      <w:lvlJc w:val="left"/>
      <w:pPr>
        <w:ind w:left="720" w:hanging="360"/>
      </w:pPr>
      <w:rPr>
        <w:rFonts w:hint="default"/>
      </w:rPr>
    </w:lvl>
    <w:lvl w:ilvl="1">
      <w:start w:val="1"/>
      <w:numFmt w:val="lowerRoman"/>
      <w:lvlText w:val="%2."/>
      <w:lvlJc w:val="left"/>
      <w:pPr>
        <w:ind w:left="1800" w:hanging="720"/>
      </w:pPr>
      <w:rPr>
        <w:rFonts w:hint="default"/>
      </w:rPr>
    </w:lvl>
    <w:lvl w:ilvl="2">
      <w:start w:val="1"/>
      <w:numFmt w:val="upperLetter"/>
      <w:lvlText w:val="%3."/>
      <w:lvlJc w:val="left"/>
      <w:pPr>
        <w:ind w:left="2340" w:hanging="36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6"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7" w15:restartNumberingAfterBreak="0">
    <w:nsid w:val="569558B4"/>
    <w:multiLevelType w:val="multilevel"/>
    <w:tmpl w:val="FF9A7B2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9" w15:restartNumberingAfterBreak="0">
    <w:nsid w:val="65C917A7"/>
    <w:multiLevelType w:val="multilevel"/>
    <w:tmpl w:val="1AF0C1C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DA52199"/>
    <w:multiLevelType w:val="hybridMultilevel"/>
    <w:tmpl w:val="5516A2A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15:restartNumberingAfterBreak="0">
    <w:nsid w:val="703B611F"/>
    <w:multiLevelType w:val="multilevel"/>
    <w:tmpl w:val="0ADACB70"/>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18F4374"/>
    <w:multiLevelType w:val="multilevel"/>
    <w:tmpl w:val="D2D239BA"/>
    <w:lvl w:ilvl="0">
      <w:start w:val="7"/>
      <w:numFmt w:val="decimal"/>
      <w:lvlText w:val="%1"/>
      <w:lvlJc w:val="left"/>
      <w:pPr>
        <w:ind w:left="360" w:hanging="360"/>
      </w:pPr>
      <w:rPr>
        <w:rFonts w:eastAsia="Times New Roman" w:cs="Times New Roman" w:hint="default"/>
        <w:b/>
      </w:rPr>
    </w:lvl>
    <w:lvl w:ilvl="1">
      <w:start w:val="2"/>
      <w:numFmt w:val="decimal"/>
      <w:lvlText w:val="%1.%2"/>
      <w:lvlJc w:val="left"/>
      <w:pPr>
        <w:ind w:left="1080" w:hanging="360"/>
      </w:pPr>
      <w:rPr>
        <w:rFonts w:eastAsia="Times New Roman" w:cs="Times New Roman" w:hint="default"/>
        <w:b/>
      </w:rPr>
    </w:lvl>
    <w:lvl w:ilvl="2">
      <w:start w:val="1"/>
      <w:numFmt w:val="decimal"/>
      <w:lvlText w:val="%1.%2.%3"/>
      <w:lvlJc w:val="left"/>
      <w:pPr>
        <w:ind w:left="2160" w:hanging="720"/>
      </w:pPr>
      <w:rPr>
        <w:rFonts w:eastAsia="Times New Roman" w:cs="Times New Roman" w:hint="default"/>
        <w:b/>
      </w:rPr>
    </w:lvl>
    <w:lvl w:ilvl="3">
      <w:start w:val="1"/>
      <w:numFmt w:val="decimal"/>
      <w:lvlText w:val="%1.%2.%3.%4"/>
      <w:lvlJc w:val="left"/>
      <w:pPr>
        <w:ind w:left="2880" w:hanging="720"/>
      </w:pPr>
      <w:rPr>
        <w:rFonts w:eastAsia="Times New Roman" w:cs="Times New Roman" w:hint="default"/>
        <w:b/>
      </w:rPr>
    </w:lvl>
    <w:lvl w:ilvl="4">
      <w:start w:val="1"/>
      <w:numFmt w:val="decimal"/>
      <w:lvlText w:val="%1.%2.%3.%4.%5"/>
      <w:lvlJc w:val="left"/>
      <w:pPr>
        <w:ind w:left="3960" w:hanging="1080"/>
      </w:pPr>
      <w:rPr>
        <w:rFonts w:eastAsia="Times New Roman" w:cs="Times New Roman" w:hint="default"/>
        <w:b/>
      </w:rPr>
    </w:lvl>
    <w:lvl w:ilvl="5">
      <w:start w:val="1"/>
      <w:numFmt w:val="decimal"/>
      <w:lvlText w:val="%1.%2.%3.%4.%5.%6"/>
      <w:lvlJc w:val="left"/>
      <w:pPr>
        <w:ind w:left="4680" w:hanging="1080"/>
      </w:pPr>
      <w:rPr>
        <w:rFonts w:eastAsia="Times New Roman" w:cs="Times New Roman" w:hint="default"/>
        <w:b/>
      </w:rPr>
    </w:lvl>
    <w:lvl w:ilvl="6">
      <w:start w:val="1"/>
      <w:numFmt w:val="decimal"/>
      <w:lvlText w:val="%1.%2.%3.%4.%5.%6.%7"/>
      <w:lvlJc w:val="left"/>
      <w:pPr>
        <w:ind w:left="5760" w:hanging="1440"/>
      </w:pPr>
      <w:rPr>
        <w:rFonts w:eastAsia="Times New Roman" w:cs="Times New Roman" w:hint="default"/>
        <w:b/>
      </w:rPr>
    </w:lvl>
    <w:lvl w:ilvl="7">
      <w:start w:val="1"/>
      <w:numFmt w:val="decimal"/>
      <w:lvlText w:val="%1.%2.%3.%4.%5.%6.%7.%8"/>
      <w:lvlJc w:val="left"/>
      <w:pPr>
        <w:ind w:left="6480" w:hanging="1440"/>
      </w:pPr>
      <w:rPr>
        <w:rFonts w:eastAsia="Times New Roman" w:cs="Times New Roman" w:hint="default"/>
        <w:b/>
      </w:rPr>
    </w:lvl>
    <w:lvl w:ilvl="8">
      <w:start w:val="1"/>
      <w:numFmt w:val="decimal"/>
      <w:lvlText w:val="%1.%2.%3.%4.%5.%6.%7.%8.%9"/>
      <w:lvlJc w:val="left"/>
      <w:pPr>
        <w:ind w:left="7560" w:hanging="1800"/>
      </w:pPr>
      <w:rPr>
        <w:rFonts w:eastAsia="Times New Roman" w:cs="Times New Roman" w:hint="default"/>
        <w:b/>
      </w:rPr>
    </w:lvl>
  </w:abstractNum>
  <w:abstractNum w:abstractNumId="23" w15:restartNumberingAfterBreak="0">
    <w:nsid w:val="72CF367F"/>
    <w:multiLevelType w:val="hybridMultilevel"/>
    <w:tmpl w:val="DF4866F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15:restartNumberingAfterBreak="0">
    <w:nsid w:val="787567E8"/>
    <w:multiLevelType w:val="hybridMultilevel"/>
    <w:tmpl w:val="1114916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15:restartNumberingAfterBreak="0">
    <w:nsid w:val="7BD328A5"/>
    <w:multiLevelType w:val="hybridMultilevel"/>
    <w:tmpl w:val="E50EE1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3"/>
  </w:num>
  <w:num w:numId="2" w16cid:durableId="1289582430">
    <w:abstractNumId w:val="18"/>
  </w:num>
  <w:num w:numId="3" w16cid:durableId="1479885800">
    <w:abstractNumId w:val="2"/>
  </w:num>
  <w:num w:numId="4" w16cid:durableId="1457530301">
    <w:abstractNumId w:val="15"/>
  </w:num>
  <w:num w:numId="5" w16cid:durableId="1026715395">
    <w:abstractNumId w:val="16"/>
  </w:num>
  <w:num w:numId="6" w16cid:durableId="1148597849">
    <w:abstractNumId w:val="12"/>
  </w:num>
  <w:num w:numId="7" w16cid:durableId="1623464680">
    <w:abstractNumId w:val="27"/>
  </w:num>
  <w:num w:numId="8" w16cid:durableId="479345975">
    <w:abstractNumId w:val="6"/>
  </w:num>
  <w:num w:numId="9" w16cid:durableId="768044209">
    <w:abstractNumId w:val="1"/>
  </w:num>
  <w:num w:numId="10" w16cid:durableId="1569144855">
    <w:abstractNumId w:val="26"/>
  </w:num>
  <w:num w:numId="11" w16cid:durableId="471797081">
    <w:abstractNumId w:val="4"/>
  </w:num>
  <w:num w:numId="12" w16cid:durableId="563832158">
    <w:abstractNumId w:val="11"/>
  </w:num>
  <w:num w:numId="13" w16cid:durableId="1194150504">
    <w:abstractNumId w:val="13"/>
  </w:num>
  <w:num w:numId="14" w16cid:durableId="1452092242">
    <w:abstractNumId w:val="19"/>
  </w:num>
  <w:num w:numId="15" w16cid:durableId="1937444522">
    <w:abstractNumId w:val="10"/>
  </w:num>
  <w:num w:numId="16" w16cid:durableId="346370677">
    <w:abstractNumId w:val="27"/>
  </w:num>
  <w:num w:numId="17" w16cid:durableId="905914159">
    <w:abstractNumId w:val="27"/>
  </w:num>
  <w:num w:numId="18" w16cid:durableId="199558392">
    <w:abstractNumId w:val="27"/>
  </w:num>
  <w:num w:numId="19" w16cid:durableId="429398688">
    <w:abstractNumId w:val="27"/>
  </w:num>
  <w:num w:numId="20" w16cid:durableId="1944728130">
    <w:abstractNumId w:val="27"/>
  </w:num>
  <w:num w:numId="21" w16cid:durableId="975186555">
    <w:abstractNumId w:val="27"/>
  </w:num>
  <w:num w:numId="22" w16cid:durableId="1296764005">
    <w:abstractNumId w:val="27"/>
  </w:num>
  <w:num w:numId="23" w16cid:durableId="512766527">
    <w:abstractNumId w:val="17"/>
  </w:num>
  <w:num w:numId="24" w16cid:durableId="1185168962">
    <w:abstractNumId w:val="5"/>
  </w:num>
  <w:num w:numId="25" w16cid:durableId="250703795">
    <w:abstractNumId w:val="21"/>
  </w:num>
  <w:num w:numId="26" w16cid:durableId="1539050119">
    <w:abstractNumId w:val="27"/>
  </w:num>
  <w:num w:numId="27" w16cid:durableId="678773174">
    <w:abstractNumId w:val="27"/>
  </w:num>
  <w:num w:numId="28" w16cid:durableId="1920947251">
    <w:abstractNumId w:val="0"/>
  </w:num>
  <w:num w:numId="29" w16cid:durableId="1795824882">
    <w:abstractNumId w:val="8"/>
  </w:num>
  <w:num w:numId="30" w16cid:durableId="323362083">
    <w:abstractNumId w:val="27"/>
  </w:num>
  <w:num w:numId="31" w16cid:durableId="2047094025">
    <w:abstractNumId w:val="27"/>
  </w:num>
  <w:num w:numId="32" w16cid:durableId="2126922756">
    <w:abstractNumId w:val="27"/>
  </w:num>
  <w:num w:numId="33" w16cid:durableId="1037700950">
    <w:abstractNumId w:val="27"/>
  </w:num>
  <w:num w:numId="34" w16cid:durableId="1323386999">
    <w:abstractNumId w:val="27"/>
  </w:num>
  <w:num w:numId="35" w16cid:durableId="1958483429">
    <w:abstractNumId w:val="27"/>
  </w:num>
  <w:num w:numId="36" w16cid:durableId="1859002933">
    <w:abstractNumId w:val="23"/>
  </w:num>
  <w:num w:numId="37" w16cid:durableId="382216592">
    <w:abstractNumId w:val="9"/>
  </w:num>
  <w:num w:numId="38" w16cid:durableId="903445464">
    <w:abstractNumId w:val="14"/>
  </w:num>
  <w:num w:numId="39" w16cid:durableId="1101343723">
    <w:abstractNumId w:val="24"/>
  </w:num>
  <w:num w:numId="40" w16cid:durableId="544177542">
    <w:abstractNumId w:val="20"/>
  </w:num>
  <w:num w:numId="41" w16cid:durableId="1422877233">
    <w:abstractNumId w:val="7"/>
  </w:num>
  <w:num w:numId="42" w16cid:durableId="2045329471">
    <w:abstractNumId w:val="22"/>
  </w:num>
  <w:num w:numId="43" w16cid:durableId="18970861">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0D0"/>
    <w:rsid w:val="000058F3"/>
    <w:rsid w:val="00006B3C"/>
    <w:rsid w:val="00010B0E"/>
    <w:rsid w:val="00011C9A"/>
    <w:rsid w:val="0001221A"/>
    <w:rsid w:val="0001230E"/>
    <w:rsid w:val="0001522E"/>
    <w:rsid w:val="00016EA6"/>
    <w:rsid w:val="000213C0"/>
    <w:rsid w:val="000218E3"/>
    <w:rsid w:val="00021F2B"/>
    <w:rsid w:val="00023948"/>
    <w:rsid w:val="00024A35"/>
    <w:rsid w:val="000268DE"/>
    <w:rsid w:val="00026ACE"/>
    <w:rsid w:val="000276AF"/>
    <w:rsid w:val="000325E2"/>
    <w:rsid w:val="00032814"/>
    <w:rsid w:val="00032FE2"/>
    <w:rsid w:val="00033A7E"/>
    <w:rsid w:val="00034081"/>
    <w:rsid w:val="0003575B"/>
    <w:rsid w:val="000368ED"/>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765DA"/>
    <w:rsid w:val="0007688E"/>
    <w:rsid w:val="000800F8"/>
    <w:rsid w:val="00080AC9"/>
    <w:rsid w:val="00080E8A"/>
    <w:rsid w:val="00081824"/>
    <w:rsid w:val="00082237"/>
    <w:rsid w:val="00082C60"/>
    <w:rsid w:val="000838BF"/>
    <w:rsid w:val="00087375"/>
    <w:rsid w:val="00090030"/>
    <w:rsid w:val="00093551"/>
    <w:rsid w:val="000953DB"/>
    <w:rsid w:val="000966FE"/>
    <w:rsid w:val="0009692D"/>
    <w:rsid w:val="0009717D"/>
    <w:rsid w:val="000A0153"/>
    <w:rsid w:val="000A2840"/>
    <w:rsid w:val="000A3FA0"/>
    <w:rsid w:val="000A506D"/>
    <w:rsid w:val="000A50ED"/>
    <w:rsid w:val="000A5E51"/>
    <w:rsid w:val="000A6504"/>
    <w:rsid w:val="000A7E25"/>
    <w:rsid w:val="000B0238"/>
    <w:rsid w:val="000B0334"/>
    <w:rsid w:val="000B1591"/>
    <w:rsid w:val="000B4C88"/>
    <w:rsid w:val="000C0189"/>
    <w:rsid w:val="000C1D37"/>
    <w:rsid w:val="000C3E72"/>
    <w:rsid w:val="000C7A92"/>
    <w:rsid w:val="000D0B6B"/>
    <w:rsid w:val="000D0E68"/>
    <w:rsid w:val="000D1C89"/>
    <w:rsid w:val="000D27FB"/>
    <w:rsid w:val="000D31E8"/>
    <w:rsid w:val="000D4787"/>
    <w:rsid w:val="000D64CF"/>
    <w:rsid w:val="000D6C12"/>
    <w:rsid w:val="000D6CD5"/>
    <w:rsid w:val="000E0CAE"/>
    <w:rsid w:val="000E350A"/>
    <w:rsid w:val="000E48B8"/>
    <w:rsid w:val="000E61AA"/>
    <w:rsid w:val="000E7503"/>
    <w:rsid w:val="000E76F5"/>
    <w:rsid w:val="000E7C4D"/>
    <w:rsid w:val="000F0209"/>
    <w:rsid w:val="000F032D"/>
    <w:rsid w:val="000F1B02"/>
    <w:rsid w:val="000F69D3"/>
    <w:rsid w:val="000F7C3F"/>
    <w:rsid w:val="001005D9"/>
    <w:rsid w:val="00103082"/>
    <w:rsid w:val="0010327F"/>
    <w:rsid w:val="00105D79"/>
    <w:rsid w:val="00111D68"/>
    <w:rsid w:val="00112EA1"/>
    <w:rsid w:val="001142EB"/>
    <w:rsid w:val="001163CC"/>
    <w:rsid w:val="001171A6"/>
    <w:rsid w:val="00117650"/>
    <w:rsid w:val="00117703"/>
    <w:rsid w:val="001243BC"/>
    <w:rsid w:val="00124654"/>
    <w:rsid w:val="001252EB"/>
    <w:rsid w:val="0012629D"/>
    <w:rsid w:val="00126645"/>
    <w:rsid w:val="00126F3D"/>
    <w:rsid w:val="00130BB8"/>
    <w:rsid w:val="0013462B"/>
    <w:rsid w:val="00135A76"/>
    <w:rsid w:val="00135FA5"/>
    <w:rsid w:val="001377B2"/>
    <w:rsid w:val="00137C09"/>
    <w:rsid w:val="00141C0C"/>
    <w:rsid w:val="00141C65"/>
    <w:rsid w:val="001426D8"/>
    <w:rsid w:val="001433C2"/>
    <w:rsid w:val="00144526"/>
    <w:rsid w:val="00145899"/>
    <w:rsid w:val="001458F3"/>
    <w:rsid w:val="001465B7"/>
    <w:rsid w:val="00146FB0"/>
    <w:rsid w:val="00151D0F"/>
    <w:rsid w:val="00152067"/>
    <w:rsid w:val="00154494"/>
    <w:rsid w:val="001562A5"/>
    <w:rsid w:val="00156327"/>
    <w:rsid w:val="00157CD1"/>
    <w:rsid w:val="00162C3D"/>
    <w:rsid w:val="00163236"/>
    <w:rsid w:val="00163B9F"/>
    <w:rsid w:val="00164FC5"/>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0E1C"/>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7E"/>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520D"/>
    <w:rsid w:val="00235684"/>
    <w:rsid w:val="002373A7"/>
    <w:rsid w:val="00237D7E"/>
    <w:rsid w:val="00240ED0"/>
    <w:rsid w:val="00241A4B"/>
    <w:rsid w:val="00242272"/>
    <w:rsid w:val="002422EA"/>
    <w:rsid w:val="002478EB"/>
    <w:rsid w:val="0025006B"/>
    <w:rsid w:val="00250327"/>
    <w:rsid w:val="00252658"/>
    <w:rsid w:val="00253902"/>
    <w:rsid w:val="002539BC"/>
    <w:rsid w:val="002550E4"/>
    <w:rsid w:val="00255359"/>
    <w:rsid w:val="0025701C"/>
    <w:rsid w:val="0026089D"/>
    <w:rsid w:val="00261D79"/>
    <w:rsid w:val="002633AA"/>
    <w:rsid w:val="00263EA6"/>
    <w:rsid w:val="00264CDF"/>
    <w:rsid w:val="00267874"/>
    <w:rsid w:val="00271F05"/>
    <w:rsid w:val="00271F83"/>
    <w:rsid w:val="00272A83"/>
    <w:rsid w:val="00273B9A"/>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1CA"/>
    <w:rsid w:val="002A54B1"/>
    <w:rsid w:val="002A6577"/>
    <w:rsid w:val="002A6B19"/>
    <w:rsid w:val="002B110C"/>
    <w:rsid w:val="002B521A"/>
    <w:rsid w:val="002B545B"/>
    <w:rsid w:val="002C1D2E"/>
    <w:rsid w:val="002C5A6C"/>
    <w:rsid w:val="002C67AF"/>
    <w:rsid w:val="002D00C7"/>
    <w:rsid w:val="002D03B1"/>
    <w:rsid w:val="002D1E4F"/>
    <w:rsid w:val="002D2287"/>
    <w:rsid w:val="002D3192"/>
    <w:rsid w:val="002D528B"/>
    <w:rsid w:val="002D52A0"/>
    <w:rsid w:val="002D561C"/>
    <w:rsid w:val="002E511E"/>
    <w:rsid w:val="002E6EC7"/>
    <w:rsid w:val="002F754F"/>
    <w:rsid w:val="00301C42"/>
    <w:rsid w:val="00301D41"/>
    <w:rsid w:val="00303150"/>
    <w:rsid w:val="003032F3"/>
    <w:rsid w:val="00303B47"/>
    <w:rsid w:val="00303BC5"/>
    <w:rsid w:val="00303F7C"/>
    <w:rsid w:val="00304BEC"/>
    <w:rsid w:val="00305F4E"/>
    <w:rsid w:val="003063F8"/>
    <w:rsid w:val="00306ADF"/>
    <w:rsid w:val="003133FC"/>
    <w:rsid w:val="00313C4F"/>
    <w:rsid w:val="00314D37"/>
    <w:rsid w:val="00317B85"/>
    <w:rsid w:val="00317F58"/>
    <w:rsid w:val="003226A5"/>
    <w:rsid w:val="00322AF8"/>
    <w:rsid w:val="003230D6"/>
    <w:rsid w:val="00327E28"/>
    <w:rsid w:val="00333DD7"/>
    <w:rsid w:val="00334BE8"/>
    <w:rsid w:val="003353AA"/>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33B9"/>
    <w:rsid w:val="003745E6"/>
    <w:rsid w:val="003748D9"/>
    <w:rsid w:val="00375F17"/>
    <w:rsid w:val="00376580"/>
    <w:rsid w:val="00377D0F"/>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A64"/>
    <w:rsid w:val="003A0DC7"/>
    <w:rsid w:val="003A336B"/>
    <w:rsid w:val="003A383F"/>
    <w:rsid w:val="003A39F8"/>
    <w:rsid w:val="003A4742"/>
    <w:rsid w:val="003B0311"/>
    <w:rsid w:val="003B45E1"/>
    <w:rsid w:val="003B483A"/>
    <w:rsid w:val="003B5BE0"/>
    <w:rsid w:val="003C2F37"/>
    <w:rsid w:val="003C36BD"/>
    <w:rsid w:val="003C5748"/>
    <w:rsid w:val="003C671E"/>
    <w:rsid w:val="003C7CE8"/>
    <w:rsid w:val="003D07AC"/>
    <w:rsid w:val="003D271F"/>
    <w:rsid w:val="003D329E"/>
    <w:rsid w:val="003D40AF"/>
    <w:rsid w:val="003D680E"/>
    <w:rsid w:val="003D77BA"/>
    <w:rsid w:val="003E0D57"/>
    <w:rsid w:val="003E256D"/>
    <w:rsid w:val="003E31E5"/>
    <w:rsid w:val="003E5735"/>
    <w:rsid w:val="003E7736"/>
    <w:rsid w:val="003F2823"/>
    <w:rsid w:val="003F2A14"/>
    <w:rsid w:val="003F3147"/>
    <w:rsid w:val="003F325B"/>
    <w:rsid w:val="003F5C45"/>
    <w:rsid w:val="003F5FD9"/>
    <w:rsid w:val="003F662D"/>
    <w:rsid w:val="003F6BE5"/>
    <w:rsid w:val="00400065"/>
    <w:rsid w:val="00402C6F"/>
    <w:rsid w:val="004046CE"/>
    <w:rsid w:val="00404C3E"/>
    <w:rsid w:val="00406008"/>
    <w:rsid w:val="00411912"/>
    <w:rsid w:val="004150A9"/>
    <w:rsid w:val="004151AE"/>
    <w:rsid w:val="004170DA"/>
    <w:rsid w:val="00417E40"/>
    <w:rsid w:val="00420D0C"/>
    <w:rsid w:val="00423574"/>
    <w:rsid w:val="00432230"/>
    <w:rsid w:val="0043364A"/>
    <w:rsid w:val="00434BEC"/>
    <w:rsid w:val="00434E8E"/>
    <w:rsid w:val="00435682"/>
    <w:rsid w:val="00436B3F"/>
    <w:rsid w:val="00436B7C"/>
    <w:rsid w:val="00441974"/>
    <w:rsid w:val="0044241A"/>
    <w:rsid w:val="0044241D"/>
    <w:rsid w:val="00443795"/>
    <w:rsid w:val="00444895"/>
    <w:rsid w:val="00445DD4"/>
    <w:rsid w:val="00452BBE"/>
    <w:rsid w:val="00452DCD"/>
    <w:rsid w:val="0045393F"/>
    <w:rsid w:val="00454652"/>
    <w:rsid w:val="00456B1E"/>
    <w:rsid w:val="00462DDD"/>
    <w:rsid w:val="00463782"/>
    <w:rsid w:val="00464B34"/>
    <w:rsid w:val="0046638E"/>
    <w:rsid w:val="00466DB0"/>
    <w:rsid w:val="00470035"/>
    <w:rsid w:val="00471695"/>
    <w:rsid w:val="0047348F"/>
    <w:rsid w:val="00475615"/>
    <w:rsid w:val="00476276"/>
    <w:rsid w:val="00476F57"/>
    <w:rsid w:val="004773EB"/>
    <w:rsid w:val="00477589"/>
    <w:rsid w:val="00480E85"/>
    <w:rsid w:val="00481178"/>
    <w:rsid w:val="00481759"/>
    <w:rsid w:val="0048264C"/>
    <w:rsid w:val="004829E4"/>
    <w:rsid w:val="00485D13"/>
    <w:rsid w:val="0048727B"/>
    <w:rsid w:val="00487D39"/>
    <w:rsid w:val="00490951"/>
    <w:rsid w:val="00491760"/>
    <w:rsid w:val="00492040"/>
    <w:rsid w:val="00493BBC"/>
    <w:rsid w:val="004942F0"/>
    <w:rsid w:val="00496F52"/>
    <w:rsid w:val="004971D2"/>
    <w:rsid w:val="004A1AA3"/>
    <w:rsid w:val="004A2FA3"/>
    <w:rsid w:val="004A32DE"/>
    <w:rsid w:val="004A3AD3"/>
    <w:rsid w:val="004A4CDA"/>
    <w:rsid w:val="004A4CDF"/>
    <w:rsid w:val="004A5884"/>
    <w:rsid w:val="004A6958"/>
    <w:rsid w:val="004A7255"/>
    <w:rsid w:val="004A7959"/>
    <w:rsid w:val="004B1230"/>
    <w:rsid w:val="004B22F1"/>
    <w:rsid w:val="004B377F"/>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698"/>
    <w:rsid w:val="00500740"/>
    <w:rsid w:val="005007FA"/>
    <w:rsid w:val="00500963"/>
    <w:rsid w:val="005039E2"/>
    <w:rsid w:val="005047DF"/>
    <w:rsid w:val="005057A7"/>
    <w:rsid w:val="005057AB"/>
    <w:rsid w:val="005070E1"/>
    <w:rsid w:val="0050728F"/>
    <w:rsid w:val="00507373"/>
    <w:rsid w:val="00507E98"/>
    <w:rsid w:val="0051133A"/>
    <w:rsid w:val="005113AB"/>
    <w:rsid w:val="00511829"/>
    <w:rsid w:val="0051312B"/>
    <w:rsid w:val="00515289"/>
    <w:rsid w:val="00515BE6"/>
    <w:rsid w:val="00516E05"/>
    <w:rsid w:val="005175C6"/>
    <w:rsid w:val="00520EEB"/>
    <w:rsid w:val="0052358D"/>
    <w:rsid w:val="00523E75"/>
    <w:rsid w:val="00527DB8"/>
    <w:rsid w:val="00530AE8"/>
    <w:rsid w:val="00530CFE"/>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0EB"/>
    <w:rsid w:val="00555676"/>
    <w:rsid w:val="00555D22"/>
    <w:rsid w:val="00560D34"/>
    <w:rsid w:val="00563045"/>
    <w:rsid w:val="0056698A"/>
    <w:rsid w:val="00571156"/>
    <w:rsid w:val="0057323E"/>
    <w:rsid w:val="0057524F"/>
    <w:rsid w:val="00575B4E"/>
    <w:rsid w:val="00581A4C"/>
    <w:rsid w:val="00582B1E"/>
    <w:rsid w:val="00584E14"/>
    <w:rsid w:val="00586F6A"/>
    <w:rsid w:val="00591087"/>
    <w:rsid w:val="005912E4"/>
    <w:rsid w:val="00595BD0"/>
    <w:rsid w:val="00595CA4"/>
    <w:rsid w:val="00595FF5"/>
    <w:rsid w:val="00597D5A"/>
    <w:rsid w:val="005A04CC"/>
    <w:rsid w:val="005A18FD"/>
    <w:rsid w:val="005A21C3"/>
    <w:rsid w:val="005A5593"/>
    <w:rsid w:val="005A5BA6"/>
    <w:rsid w:val="005B115A"/>
    <w:rsid w:val="005B138B"/>
    <w:rsid w:val="005B3B43"/>
    <w:rsid w:val="005B4188"/>
    <w:rsid w:val="005B5BB2"/>
    <w:rsid w:val="005B5E0C"/>
    <w:rsid w:val="005B70C4"/>
    <w:rsid w:val="005B7214"/>
    <w:rsid w:val="005C308F"/>
    <w:rsid w:val="005C3719"/>
    <w:rsid w:val="005C3D27"/>
    <w:rsid w:val="005C4E4F"/>
    <w:rsid w:val="005C572B"/>
    <w:rsid w:val="005C772A"/>
    <w:rsid w:val="005D0D01"/>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870"/>
    <w:rsid w:val="00615F4D"/>
    <w:rsid w:val="006161C7"/>
    <w:rsid w:val="0061650D"/>
    <w:rsid w:val="00616F6A"/>
    <w:rsid w:val="00617AC4"/>
    <w:rsid w:val="00623D38"/>
    <w:rsid w:val="006269B3"/>
    <w:rsid w:val="006314BA"/>
    <w:rsid w:val="00631C48"/>
    <w:rsid w:val="00631EE8"/>
    <w:rsid w:val="006327ED"/>
    <w:rsid w:val="0063484E"/>
    <w:rsid w:val="00634BCB"/>
    <w:rsid w:val="00636E50"/>
    <w:rsid w:val="00641FF8"/>
    <w:rsid w:val="006438C6"/>
    <w:rsid w:val="00645AB7"/>
    <w:rsid w:val="00645C38"/>
    <w:rsid w:val="00645EB6"/>
    <w:rsid w:val="00646936"/>
    <w:rsid w:val="00647D51"/>
    <w:rsid w:val="006546EA"/>
    <w:rsid w:val="00664FF6"/>
    <w:rsid w:val="00665200"/>
    <w:rsid w:val="00665E32"/>
    <w:rsid w:val="006669DA"/>
    <w:rsid w:val="006703FE"/>
    <w:rsid w:val="00671143"/>
    <w:rsid w:val="00673378"/>
    <w:rsid w:val="00673FFA"/>
    <w:rsid w:val="00676E1A"/>
    <w:rsid w:val="006805C2"/>
    <w:rsid w:val="0068372F"/>
    <w:rsid w:val="00684F3D"/>
    <w:rsid w:val="00685E20"/>
    <w:rsid w:val="006901E5"/>
    <w:rsid w:val="00690EB2"/>
    <w:rsid w:val="00692284"/>
    <w:rsid w:val="00692ED9"/>
    <w:rsid w:val="006947D1"/>
    <w:rsid w:val="006973AA"/>
    <w:rsid w:val="006A1739"/>
    <w:rsid w:val="006B2178"/>
    <w:rsid w:val="006B3C9C"/>
    <w:rsid w:val="006B5C0B"/>
    <w:rsid w:val="006B6937"/>
    <w:rsid w:val="006C1F91"/>
    <w:rsid w:val="006C32E5"/>
    <w:rsid w:val="006C34CF"/>
    <w:rsid w:val="006C4D08"/>
    <w:rsid w:val="006C6216"/>
    <w:rsid w:val="006C7C00"/>
    <w:rsid w:val="006D064E"/>
    <w:rsid w:val="006D1598"/>
    <w:rsid w:val="006D5DAE"/>
    <w:rsid w:val="006D6F39"/>
    <w:rsid w:val="006D7394"/>
    <w:rsid w:val="006D7C17"/>
    <w:rsid w:val="006E15FE"/>
    <w:rsid w:val="006E35CD"/>
    <w:rsid w:val="006F2722"/>
    <w:rsid w:val="006F66CD"/>
    <w:rsid w:val="006F66EA"/>
    <w:rsid w:val="006F6E14"/>
    <w:rsid w:val="007007FC"/>
    <w:rsid w:val="00701AD9"/>
    <w:rsid w:val="007029C6"/>
    <w:rsid w:val="007029F2"/>
    <w:rsid w:val="00702A83"/>
    <w:rsid w:val="00703BCE"/>
    <w:rsid w:val="0070433F"/>
    <w:rsid w:val="007043A1"/>
    <w:rsid w:val="007043FF"/>
    <w:rsid w:val="0070506E"/>
    <w:rsid w:val="00705B46"/>
    <w:rsid w:val="00706E08"/>
    <w:rsid w:val="007103B3"/>
    <w:rsid w:val="00710DE0"/>
    <w:rsid w:val="007121B2"/>
    <w:rsid w:val="00714143"/>
    <w:rsid w:val="0071431D"/>
    <w:rsid w:val="00715819"/>
    <w:rsid w:val="00716D73"/>
    <w:rsid w:val="0072225D"/>
    <w:rsid w:val="00722435"/>
    <w:rsid w:val="007240D8"/>
    <w:rsid w:val="007261AB"/>
    <w:rsid w:val="007314A9"/>
    <w:rsid w:val="0073218D"/>
    <w:rsid w:val="007324AA"/>
    <w:rsid w:val="00735C99"/>
    <w:rsid w:val="0073639B"/>
    <w:rsid w:val="007370CD"/>
    <w:rsid w:val="00740573"/>
    <w:rsid w:val="007437CA"/>
    <w:rsid w:val="00746086"/>
    <w:rsid w:val="00746A5A"/>
    <w:rsid w:val="00750204"/>
    <w:rsid w:val="00753C87"/>
    <w:rsid w:val="00754DF2"/>
    <w:rsid w:val="00754E1F"/>
    <w:rsid w:val="007567A5"/>
    <w:rsid w:val="00756876"/>
    <w:rsid w:val="0075711E"/>
    <w:rsid w:val="0076002E"/>
    <w:rsid w:val="007610D7"/>
    <w:rsid w:val="00761AA4"/>
    <w:rsid w:val="007626E1"/>
    <w:rsid w:val="00762A94"/>
    <w:rsid w:val="00762BEC"/>
    <w:rsid w:val="0076304C"/>
    <w:rsid w:val="00763D8C"/>
    <w:rsid w:val="007642C7"/>
    <w:rsid w:val="00764CC3"/>
    <w:rsid w:val="007709B1"/>
    <w:rsid w:val="00772A25"/>
    <w:rsid w:val="00772E2E"/>
    <w:rsid w:val="00775EF9"/>
    <w:rsid w:val="00782E96"/>
    <w:rsid w:val="007838EB"/>
    <w:rsid w:val="00785F68"/>
    <w:rsid w:val="007930A1"/>
    <w:rsid w:val="0079426F"/>
    <w:rsid w:val="00795437"/>
    <w:rsid w:val="007955B8"/>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9A2"/>
    <w:rsid w:val="007D50EB"/>
    <w:rsid w:val="007D7453"/>
    <w:rsid w:val="007D7EEA"/>
    <w:rsid w:val="007E1F9A"/>
    <w:rsid w:val="007E3683"/>
    <w:rsid w:val="007E405C"/>
    <w:rsid w:val="007E432C"/>
    <w:rsid w:val="007E60B1"/>
    <w:rsid w:val="007E6ADE"/>
    <w:rsid w:val="007F0AFE"/>
    <w:rsid w:val="007F1BCB"/>
    <w:rsid w:val="007F3A39"/>
    <w:rsid w:val="007F4426"/>
    <w:rsid w:val="007F5D38"/>
    <w:rsid w:val="007F680D"/>
    <w:rsid w:val="007F6BC5"/>
    <w:rsid w:val="007F7348"/>
    <w:rsid w:val="007F7578"/>
    <w:rsid w:val="007F7962"/>
    <w:rsid w:val="00803719"/>
    <w:rsid w:val="00805494"/>
    <w:rsid w:val="0080730A"/>
    <w:rsid w:val="00810881"/>
    <w:rsid w:val="00811B48"/>
    <w:rsid w:val="00812B14"/>
    <w:rsid w:val="00812B72"/>
    <w:rsid w:val="008132E1"/>
    <w:rsid w:val="00814078"/>
    <w:rsid w:val="008142A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D35"/>
    <w:rsid w:val="00844662"/>
    <w:rsid w:val="00844783"/>
    <w:rsid w:val="008474C1"/>
    <w:rsid w:val="0085298D"/>
    <w:rsid w:val="00852ECD"/>
    <w:rsid w:val="00857118"/>
    <w:rsid w:val="00857419"/>
    <w:rsid w:val="00857A84"/>
    <w:rsid w:val="00860E71"/>
    <w:rsid w:val="00861BE6"/>
    <w:rsid w:val="00863DB0"/>
    <w:rsid w:val="008649EF"/>
    <w:rsid w:val="0086622F"/>
    <w:rsid w:val="0087030D"/>
    <w:rsid w:val="008731B4"/>
    <w:rsid w:val="00873F4F"/>
    <w:rsid w:val="00874E7C"/>
    <w:rsid w:val="00877B04"/>
    <w:rsid w:val="00880A2F"/>
    <w:rsid w:val="00882E0B"/>
    <w:rsid w:val="0088318A"/>
    <w:rsid w:val="00883DC9"/>
    <w:rsid w:val="00883E24"/>
    <w:rsid w:val="008840C6"/>
    <w:rsid w:val="008855FD"/>
    <w:rsid w:val="00887A95"/>
    <w:rsid w:val="0089131D"/>
    <w:rsid w:val="0089154F"/>
    <w:rsid w:val="00891BD8"/>
    <w:rsid w:val="00894643"/>
    <w:rsid w:val="008950BC"/>
    <w:rsid w:val="00895C94"/>
    <w:rsid w:val="0089723F"/>
    <w:rsid w:val="00897364"/>
    <w:rsid w:val="008973CD"/>
    <w:rsid w:val="008973CE"/>
    <w:rsid w:val="008A0B62"/>
    <w:rsid w:val="008A28C0"/>
    <w:rsid w:val="008A2E1C"/>
    <w:rsid w:val="008B5F7D"/>
    <w:rsid w:val="008B604D"/>
    <w:rsid w:val="008C0244"/>
    <w:rsid w:val="008C04CC"/>
    <w:rsid w:val="008C0853"/>
    <w:rsid w:val="008C1262"/>
    <w:rsid w:val="008C1C6B"/>
    <w:rsid w:val="008C1CF9"/>
    <w:rsid w:val="008C249D"/>
    <w:rsid w:val="008C4785"/>
    <w:rsid w:val="008C6D4A"/>
    <w:rsid w:val="008C7393"/>
    <w:rsid w:val="008C7C39"/>
    <w:rsid w:val="008D18B1"/>
    <w:rsid w:val="008D2286"/>
    <w:rsid w:val="008D3096"/>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8F6B06"/>
    <w:rsid w:val="008F6B32"/>
    <w:rsid w:val="00901DA8"/>
    <w:rsid w:val="00902C4D"/>
    <w:rsid w:val="0090511E"/>
    <w:rsid w:val="00910B36"/>
    <w:rsid w:val="00913D17"/>
    <w:rsid w:val="00914F7A"/>
    <w:rsid w:val="00915B7B"/>
    <w:rsid w:val="00920516"/>
    <w:rsid w:val="00920D64"/>
    <w:rsid w:val="00921F03"/>
    <w:rsid w:val="00923AB5"/>
    <w:rsid w:val="00925E16"/>
    <w:rsid w:val="009267AA"/>
    <w:rsid w:val="009315D0"/>
    <w:rsid w:val="00933007"/>
    <w:rsid w:val="009337E9"/>
    <w:rsid w:val="00933D39"/>
    <w:rsid w:val="00941E75"/>
    <w:rsid w:val="009447BB"/>
    <w:rsid w:val="009460DC"/>
    <w:rsid w:val="009463AB"/>
    <w:rsid w:val="009510E6"/>
    <w:rsid w:val="009511AA"/>
    <w:rsid w:val="00951268"/>
    <w:rsid w:val="009536C1"/>
    <w:rsid w:val="00953B1E"/>
    <w:rsid w:val="0095502D"/>
    <w:rsid w:val="00955E6C"/>
    <w:rsid w:val="0095630C"/>
    <w:rsid w:val="00956F2C"/>
    <w:rsid w:val="0096136D"/>
    <w:rsid w:val="00961435"/>
    <w:rsid w:val="0096180A"/>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5858"/>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C225A"/>
    <w:rsid w:val="009D1648"/>
    <w:rsid w:val="009D25AA"/>
    <w:rsid w:val="009D29C2"/>
    <w:rsid w:val="009D2BA4"/>
    <w:rsid w:val="009D48B1"/>
    <w:rsid w:val="009D6BBC"/>
    <w:rsid w:val="009E1DA8"/>
    <w:rsid w:val="009E2337"/>
    <w:rsid w:val="009E299B"/>
    <w:rsid w:val="009E4DAD"/>
    <w:rsid w:val="009E4F07"/>
    <w:rsid w:val="009E5BC6"/>
    <w:rsid w:val="009E6780"/>
    <w:rsid w:val="009F027C"/>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12D8"/>
    <w:rsid w:val="00A162A6"/>
    <w:rsid w:val="00A17E7E"/>
    <w:rsid w:val="00A21C61"/>
    <w:rsid w:val="00A25407"/>
    <w:rsid w:val="00A25EE2"/>
    <w:rsid w:val="00A31DB0"/>
    <w:rsid w:val="00A3494B"/>
    <w:rsid w:val="00A35363"/>
    <w:rsid w:val="00A3683C"/>
    <w:rsid w:val="00A36895"/>
    <w:rsid w:val="00A37CC1"/>
    <w:rsid w:val="00A418D7"/>
    <w:rsid w:val="00A41B44"/>
    <w:rsid w:val="00A42BEF"/>
    <w:rsid w:val="00A43A77"/>
    <w:rsid w:val="00A43AC4"/>
    <w:rsid w:val="00A4411E"/>
    <w:rsid w:val="00A44CA1"/>
    <w:rsid w:val="00A45251"/>
    <w:rsid w:val="00A45DA0"/>
    <w:rsid w:val="00A52864"/>
    <w:rsid w:val="00A57509"/>
    <w:rsid w:val="00A63B53"/>
    <w:rsid w:val="00A63D39"/>
    <w:rsid w:val="00A659EB"/>
    <w:rsid w:val="00A665CD"/>
    <w:rsid w:val="00A71427"/>
    <w:rsid w:val="00A73DEF"/>
    <w:rsid w:val="00A7416A"/>
    <w:rsid w:val="00A7454C"/>
    <w:rsid w:val="00A75130"/>
    <w:rsid w:val="00A768C0"/>
    <w:rsid w:val="00A778C4"/>
    <w:rsid w:val="00A80284"/>
    <w:rsid w:val="00A846C1"/>
    <w:rsid w:val="00A8680A"/>
    <w:rsid w:val="00A92A1D"/>
    <w:rsid w:val="00A9327E"/>
    <w:rsid w:val="00A9630E"/>
    <w:rsid w:val="00A97752"/>
    <w:rsid w:val="00AA004D"/>
    <w:rsid w:val="00AA6D6C"/>
    <w:rsid w:val="00AB0D22"/>
    <w:rsid w:val="00AB0D49"/>
    <w:rsid w:val="00AB1406"/>
    <w:rsid w:val="00AB2D9C"/>
    <w:rsid w:val="00AB4D78"/>
    <w:rsid w:val="00AB71A3"/>
    <w:rsid w:val="00AB7AFA"/>
    <w:rsid w:val="00AC185F"/>
    <w:rsid w:val="00AC4065"/>
    <w:rsid w:val="00AC510B"/>
    <w:rsid w:val="00AC54EC"/>
    <w:rsid w:val="00AC776A"/>
    <w:rsid w:val="00AD0F6A"/>
    <w:rsid w:val="00AD12AD"/>
    <w:rsid w:val="00AD3039"/>
    <w:rsid w:val="00AD56FD"/>
    <w:rsid w:val="00AE0E41"/>
    <w:rsid w:val="00AE20AF"/>
    <w:rsid w:val="00AE4B90"/>
    <w:rsid w:val="00AE54A4"/>
    <w:rsid w:val="00AE73E4"/>
    <w:rsid w:val="00AF0289"/>
    <w:rsid w:val="00AF043E"/>
    <w:rsid w:val="00AF1D3A"/>
    <w:rsid w:val="00AF3670"/>
    <w:rsid w:val="00AF3A41"/>
    <w:rsid w:val="00AF4AE3"/>
    <w:rsid w:val="00AF7A3E"/>
    <w:rsid w:val="00B005B6"/>
    <w:rsid w:val="00B00C03"/>
    <w:rsid w:val="00B01D12"/>
    <w:rsid w:val="00B03FB6"/>
    <w:rsid w:val="00B04717"/>
    <w:rsid w:val="00B06914"/>
    <w:rsid w:val="00B069C9"/>
    <w:rsid w:val="00B10DFB"/>
    <w:rsid w:val="00B12A3A"/>
    <w:rsid w:val="00B12C52"/>
    <w:rsid w:val="00B12CC9"/>
    <w:rsid w:val="00B13AE6"/>
    <w:rsid w:val="00B14AEA"/>
    <w:rsid w:val="00B14F39"/>
    <w:rsid w:val="00B15CD7"/>
    <w:rsid w:val="00B16142"/>
    <w:rsid w:val="00B2393D"/>
    <w:rsid w:val="00B2518C"/>
    <w:rsid w:val="00B2525D"/>
    <w:rsid w:val="00B2597C"/>
    <w:rsid w:val="00B25E5B"/>
    <w:rsid w:val="00B26B3C"/>
    <w:rsid w:val="00B27931"/>
    <w:rsid w:val="00B27D35"/>
    <w:rsid w:val="00B326A3"/>
    <w:rsid w:val="00B32C58"/>
    <w:rsid w:val="00B33BEE"/>
    <w:rsid w:val="00B35EE8"/>
    <w:rsid w:val="00B36993"/>
    <w:rsid w:val="00B37DD2"/>
    <w:rsid w:val="00B40265"/>
    <w:rsid w:val="00B438F5"/>
    <w:rsid w:val="00B4657A"/>
    <w:rsid w:val="00B46AC3"/>
    <w:rsid w:val="00B4785E"/>
    <w:rsid w:val="00B5157D"/>
    <w:rsid w:val="00B532C0"/>
    <w:rsid w:val="00B559DE"/>
    <w:rsid w:val="00B57249"/>
    <w:rsid w:val="00B61312"/>
    <w:rsid w:val="00B62DF0"/>
    <w:rsid w:val="00B658E1"/>
    <w:rsid w:val="00B713C1"/>
    <w:rsid w:val="00B748F6"/>
    <w:rsid w:val="00B74A51"/>
    <w:rsid w:val="00B74F92"/>
    <w:rsid w:val="00B7536A"/>
    <w:rsid w:val="00B77985"/>
    <w:rsid w:val="00B81340"/>
    <w:rsid w:val="00B818F0"/>
    <w:rsid w:val="00B82217"/>
    <w:rsid w:val="00B8224B"/>
    <w:rsid w:val="00B82A35"/>
    <w:rsid w:val="00B82D5C"/>
    <w:rsid w:val="00B82F2F"/>
    <w:rsid w:val="00B83E3A"/>
    <w:rsid w:val="00B851B5"/>
    <w:rsid w:val="00B85D6A"/>
    <w:rsid w:val="00B925CA"/>
    <w:rsid w:val="00B93039"/>
    <w:rsid w:val="00B94152"/>
    <w:rsid w:val="00BA189E"/>
    <w:rsid w:val="00BA1C54"/>
    <w:rsid w:val="00BA29E9"/>
    <w:rsid w:val="00BA5D34"/>
    <w:rsid w:val="00BA7ECA"/>
    <w:rsid w:val="00BC006F"/>
    <w:rsid w:val="00BC5FE3"/>
    <w:rsid w:val="00BC6B69"/>
    <w:rsid w:val="00BD0CFD"/>
    <w:rsid w:val="00BD0EB0"/>
    <w:rsid w:val="00BD1561"/>
    <w:rsid w:val="00BD304E"/>
    <w:rsid w:val="00BD3552"/>
    <w:rsid w:val="00BD4716"/>
    <w:rsid w:val="00BD54F1"/>
    <w:rsid w:val="00BD62AB"/>
    <w:rsid w:val="00BD798F"/>
    <w:rsid w:val="00BE0A26"/>
    <w:rsid w:val="00BE2459"/>
    <w:rsid w:val="00BE4BAD"/>
    <w:rsid w:val="00BE5239"/>
    <w:rsid w:val="00BE5C05"/>
    <w:rsid w:val="00BE5CFA"/>
    <w:rsid w:val="00BE6441"/>
    <w:rsid w:val="00BE7F09"/>
    <w:rsid w:val="00BF0155"/>
    <w:rsid w:val="00BF08A1"/>
    <w:rsid w:val="00BF1199"/>
    <w:rsid w:val="00BF19BA"/>
    <w:rsid w:val="00BF2176"/>
    <w:rsid w:val="00BF241A"/>
    <w:rsid w:val="00BF2B99"/>
    <w:rsid w:val="00BF35DA"/>
    <w:rsid w:val="00BF3BD7"/>
    <w:rsid w:val="00BF5C93"/>
    <w:rsid w:val="00BF70E6"/>
    <w:rsid w:val="00BF7F94"/>
    <w:rsid w:val="00C0007E"/>
    <w:rsid w:val="00C01348"/>
    <w:rsid w:val="00C03651"/>
    <w:rsid w:val="00C05D37"/>
    <w:rsid w:val="00C1145E"/>
    <w:rsid w:val="00C119BC"/>
    <w:rsid w:val="00C12057"/>
    <w:rsid w:val="00C15CF8"/>
    <w:rsid w:val="00C1667A"/>
    <w:rsid w:val="00C16B94"/>
    <w:rsid w:val="00C16D49"/>
    <w:rsid w:val="00C22538"/>
    <w:rsid w:val="00C22A9A"/>
    <w:rsid w:val="00C248FA"/>
    <w:rsid w:val="00C24ED2"/>
    <w:rsid w:val="00C25D25"/>
    <w:rsid w:val="00C27AEC"/>
    <w:rsid w:val="00C30CBF"/>
    <w:rsid w:val="00C3155D"/>
    <w:rsid w:val="00C32D74"/>
    <w:rsid w:val="00C3372C"/>
    <w:rsid w:val="00C33F1C"/>
    <w:rsid w:val="00C34154"/>
    <w:rsid w:val="00C345B0"/>
    <w:rsid w:val="00C3571D"/>
    <w:rsid w:val="00C36728"/>
    <w:rsid w:val="00C367FE"/>
    <w:rsid w:val="00C41E54"/>
    <w:rsid w:val="00C43486"/>
    <w:rsid w:val="00C43521"/>
    <w:rsid w:val="00C43EF3"/>
    <w:rsid w:val="00C454DB"/>
    <w:rsid w:val="00C460B3"/>
    <w:rsid w:val="00C46C00"/>
    <w:rsid w:val="00C50CA0"/>
    <w:rsid w:val="00C50D0E"/>
    <w:rsid w:val="00C510DA"/>
    <w:rsid w:val="00C51253"/>
    <w:rsid w:val="00C53614"/>
    <w:rsid w:val="00C54DCA"/>
    <w:rsid w:val="00C63369"/>
    <w:rsid w:val="00C63C8A"/>
    <w:rsid w:val="00C648DB"/>
    <w:rsid w:val="00C64B83"/>
    <w:rsid w:val="00C64BE4"/>
    <w:rsid w:val="00C65631"/>
    <w:rsid w:val="00C6709E"/>
    <w:rsid w:val="00C70E32"/>
    <w:rsid w:val="00C73C43"/>
    <w:rsid w:val="00C75AA6"/>
    <w:rsid w:val="00C771BF"/>
    <w:rsid w:val="00C82626"/>
    <w:rsid w:val="00C831D4"/>
    <w:rsid w:val="00C85326"/>
    <w:rsid w:val="00C854EF"/>
    <w:rsid w:val="00C8599D"/>
    <w:rsid w:val="00C861BB"/>
    <w:rsid w:val="00C87F35"/>
    <w:rsid w:val="00C91701"/>
    <w:rsid w:val="00C932E1"/>
    <w:rsid w:val="00C95AA2"/>
    <w:rsid w:val="00C96C6B"/>
    <w:rsid w:val="00C979C0"/>
    <w:rsid w:val="00CA00EB"/>
    <w:rsid w:val="00CA2543"/>
    <w:rsid w:val="00CA4608"/>
    <w:rsid w:val="00CA490A"/>
    <w:rsid w:val="00CA5C4B"/>
    <w:rsid w:val="00CA69F9"/>
    <w:rsid w:val="00CA78CB"/>
    <w:rsid w:val="00CB03A8"/>
    <w:rsid w:val="00CB11CB"/>
    <w:rsid w:val="00CB3A66"/>
    <w:rsid w:val="00CB4DEB"/>
    <w:rsid w:val="00CB4EA5"/>
    <w:rsid w:val="00CB6311"/>
    <w:rsid w:val="00CB7487"/>
    <w:rsid w:val="00CC0FC1"/>
    <w:rsid w:val="00CC1339"/>
    <w:rsid w:val="00CC20EC"/>
    <w:rsid w:val="00CC28BA"/>
    <w:rsid w:val="00CC4343"/>
    <w:rsid w:val="00CC599A"/>
    <w:rsid w:val="00CC5A2D"/>
    <w:rsid w:val="00CC6BD5"/>
    <w:rsid w:val="00CD1BD2"/>
    <w:rsid w:val="00CD2291"/>
    <w:rsid w:val="00CD2474"/>
    <w:rsid w:val="00CD2ED9"/>
    <w:rsid w:val="00CD31C6"/>
    <w:rsid w:val="00CD3466"/>
    <w:rsid w:val="00CD4190"/>
    <w:rsid w:val="00CD4614"/>
    <w:rsid w:val="00CD5A10"/>
    <w:rsid w:val="00CD74DF"/>
    <w:rsid w:val="00CE00CC"/>
    <w:rsid w:val="00CE5184"/>
    <w:rsid w:val="00CE521A"/>
    <w:rsid w:val="00CE6CED"/>
    <w:rsid w:val="00CE7000"/>
    <w:rsid w:val="00CE7633"/>
    <w:rsid w:val="00CE7C76"/>
    <w:rsid w:val="00CF41D4"/>
    <w:rsid w:val="00CF5E65"/>
    <w:rsid w:val="00D01268"/>
    <w:rsid w:val="00D01449"/>
    <w:rsid w:val="00D01C0D"/>
    <w:rsid w:val="00D01E64"/>
    <w:rsid w:val="00D02646"/>
    <w:rsid w:val="00D0270C"/>
    <w:rsid w:val="00D0407D"/>
    <w:rsid w:val="00D07DF1"/>
    <w:rsid w:val="00D103D0"/>
    <w:rsid w:val="00D118C0"/>
    <w:rsid w:val="00D1293A"/>
    <w:rsid w:val="00D140B8"/>
    <w:rsid w:val="00D158C0"/>
    <w:rsid w:val="00D163A8"/>
    <w:rsid w:val="00D179A0"/>
    <w:rsid w:val="00D218B2"/>
    <w:rsid w:val="00D2224F"/>
    <w:rsid w:val="00D22396"/>
    <w:rsid w:val="00D225E1"/>
    <w:rsid w:val="00D2453F"/>
    <w:rsid w:val="00D2546B"/>
    <w:rsid w:val="00D27E55"/>
    <w:rsid w:val="00D27FE8"/>
    <w:rsid w:val="00D319BB"/>
    <w:rsid w:val="00D32C27"/>
    <w:rsid w:val="00D349BC"/>
    <w:rsid w:val="00D34EEA"/>
    <w:rsid w:val="00D355F2"/>
    <w:rsid w:val="00D36D0E"/>
    <w:rsid w:val="00D44BCF"/>
    <w:rsid w:val="00D4572C"/>
    <w:rsid w:val="00D46F3A"/>
    <w:rsid w:val="00D517BA"/>
    <w:rsid w:val="00D53265"/>
    <w:rsid w:val="00D5338C"/>
    <w:rsid w:val="00D53C8B"/>
    <w:rsid w:val="00D54CFC"/>
    <w:rsid w:val="00D56542"/>
    <w:rsid w:val="00D572F2"/>
    <w:rsid w:val="00D6083F"/>
    <w:rsid w:val="00D6131C"/>
    <w:rsid w:val="00D62DA2"/>
    <w:rsid w:val="00D64C00"/>
    <w:rsid w:val="00D657C7"/>
    <w:rsid w:val="00D65B8E"/>
    <w:rsid w:val="00D65FF9"/>
    <w:rsid w:val="00D66169"/>
    <w:rsid w:val="00D6622A"/>
    <w:rsid w:val="00D705A6"/>
    <w:rsid w:val="00D71E4A"/>
    <w:rsid w:val="00D76CDA"/>
    <w:rsid w:val="00D81364"/>
    <w:rsid w:val="00D839FA"/>
    <w:rsid w:val="00D868D6"/>
    <w:rsid w:val="00D95ABB"/>
    <w:rsid w:val="00DA10F6"/>
    <w:rsid w:val="00DA208E"/>
    <w:rsid w:val="00DA2842"/>
    <w:rsid w:val="00DA2A78"/>
    <w:rsid w:val="00DA2CCC"/>
    <w:rsid w:val="00DA7270"/>
    <w:rsid w:val="00DA7526"/>
    <w:rsid w:val="00DB04A4"/>
    <w:rsid w:val="00DB22BE"/>
    <w:rsid w:val="00DB31DA"/>
    <w:rsid w:val="00DB3D65"/>
    <w:rsid w:val="00DB47E8"/>
    <w:rsid w:val="00DB5B07"/>
    <w:rsid w:val="00DB5CBE"/>
    <w:rsid w:val="00DB5CD8"/>
    <w:rsid w:val="00DC1383"/>
    <w:rsid w:val="00DC216C"/>
    <w:rsid w:val="00DC39D4"/>
    <w:rsid w:val="00DC3F6F"/>
    <w:rsid w:val="00DC4B36"/>
    <w:rsid w:val="00DC731B"/>
    <w:rsid w:val="00DC776C"/>
    <w:rsid w:val="00DD0E33"/>
    <w:rsid w:val="00DD1B98"/>
    <w:rsid w:val="00DD1F5F"/>
    <w:rsid w:val="00DD38CC"/>
    <w:rsid w:val="00DD4296"/>
    <w:rsid w:val="00DD5AA5"/>
    <w:rsid w:val="00DE0CE1"/>
    <w:rsid w:val="00DE2094"/>
    <w:rsid w:val="00DE47B1"/>
    <w:rsid w:val="00DE4A99"/>
    <w:rsid w:val="00DE4BAD"/>
    <w:rsid w:val="00DF0720"/>
    <w:rsid w:val="00DF1340"/>
    <w:rsid w:val="00DF20FB"/>
    <w:rsid w:val="00DF24E4"/>
    <w:rsid w:val="00DF6099"/>
    <w:rsid w:val="00DF6B40"/>
    <w:rsid w:val="00E001F1"/>
    <w:rsid w:val="00E0123A"/>
    <w:rsid w:val="00E01E0D"/>
    <w:rsid w:val="00E04D9F"/>
    <w:rsid w:val="00E06179"/>
    <w:rsid w:val="00E07F77"/>
    <w:rsid w:val="00E10231"/>
    <w:rsid w:val="00E1105F"/>
    <w:rsid w:val="00E11E60"/>
    <w:rsid w:val="00E1525F"/>
    <w:rsid w:val="00E1701B"/>
    <w:rsid w:val="00E20BA1"/>
    <w:rsid w:val="00E22D82"/>
    <w:rsid w:val="00E2539E"/>
    <w:rsid w:val="00E27F24"/>
    <w:rsid w:val="00E328E2"/>
    <w:rsid w:val="00E32E7F"/>
    <w:rsid w:val="00E35C84"/>
    <w:rsid w:val="00E35CB9"/>
    <w:rsid w:val="00E374FC"/>
    <w:rsid w:val="00E37922"/>
    <w:rsid w:val="00E421B7"/>
    <w:rsid w:val="00E427FB"/>
    <w:rsid w:val="00E42839"/>
    <w:rsid w:val="00E42D21"/>
    <w:rsid w:val="00E466C7"/>
    <w:rsid w:val="00E468F4"/>
    <w:rsid w:val="00E51183"/>
    <w:rsid w:val="00E54284"/>
    <w:rsid w:val="00E5504A"/>
    <w:rsid w:val="00E60C2F"/>
    <w:rsid w:val="00E63111"/>
    <w:rsid w:val="00E63AC1"/>
    <w:rsid w:val="00E63D8D"/>
    <w:rsid w:val="00E6493F"/>
    <w:rsid w:val="00E656F0"/>
    <w:rsid w:val="00E66655"/>
    <w:rsid w:val="00E67E78"/>
    <w:rsid w:val="00E71F01"/>
    <w:rsid w:val="00E72073"/>
    <w:rsid w:val="00E7247B"/>
    <w:rsid w:val="00E73E9E"/>
    <w:rsid w:val="00E74F04"/>
    <w:rsid w:val="00E77364"/>
    <w:rsid w:val="00E82076"/>
    <w:rsid w:val="00E83A99"/>
    <w:rsid w:val="00E847A4"/>
    <w:rsid w:val="00E84DB9"/>
    <w:rsid w:val="00E858AE"/>
    <w:rsid w:val="00E860F4"/>
    <w:rsid w:val="00E861C2"/>
    <w:rsid w:val="00E862D6"/>
    <w:rsid w:val="00E90A9D"/>
    <w:rsid w:val="00E90CF9"/>
    <w:rsid w:val="00E94705"/>
    <w:rsid w:val="00E95C6A"/>
    <w:rsid w:val="00E97AF6"/>
    <w:rsid w:val="00EA07CA"/>
    <w:rsid w:val="00EA0D5E"/>
    <w:rsid w:val="00EA19E0"/>
    <w:rsid w:val="00EA23E9"/>
    <w:rsid w:val="00EA3DD6"/>
    <w:rsid w:val="00EA49F5"/>
    <w:rsid w:val="00EA7023"/>
    <w:rsid w:val="00EB4710"/>
    <w:rsid w:val="00EB4D1F"/>
    <w:rsid w:val="00EB4DAD"/>
    <w:rsid w:val="00EB618B"/>
    <w:rsid w:val="00EB7363"/>
    <w:rsid w:val="00EC03D1"/>
    <w:rsid w:val="00EC0ED8"/>
    <w:rsid w:val="00EC17E9"/>
    <w:rsid w:val="00EC4E37"/>
    <w:rsid w:val="00EC5837"/>
    <w:rsid w:val="00EC5A5E"/>
    <w:rsid w:val="00EC6745"/>
    <w:rsid w:val="00EC74A0"/>
    <w:rsid w:val="00ED1C2C"/>
    <w:rsid w:val="00ED7237"/>
    <w:rsid w:val="00EE0B43"/>
    <w:rsid w:val="00EE145B"/>
    <w:rsid w:val="00EE5964"/>
    <w:rsid w:val="00EE5A68"/>
    <w:rsid w:val="00EE6C56"/>
    <w:rsid w:val="00EE6EAB"/>
    <w:rsid w:val="00EF5DF7"/>
    <w:rsid w:val="00EF64CF"/>
    <w:rsid w:val="00EF6513"/>
    <w:rsid w:val="00EF69B7"/>
    <w:rsid w:val="00EF6B34"/>
    <w:rsid w:val="00F00DEF"/>
    <w:rsid w:val="00F02E80"/>
    <w:rsid w:val="00F042DB"/>
    <w:rsid w:val="00F04439"/>
    <w:rsid w:val="00F04534"/>
    <w:rsid w:val="00F04571"/>
    <w:rsid w:val="00F04659"/>
    <w:rsid w:val="00F04D06"/>
    <w:rsid w:val="00F04E81"/>
    <w:rsid w:val="00F10A9D"/>
    <w:rsid w:val="00F11D07"/>
    <w:rsid w:val="00F14465"/>
    <w:rsid w:val="00F159DD"/>
    <w:rsid w:val="00F16A49"/>
    <w:rsid w:val="00F17C2A"/>
    <w:rsid w:val="00F23828"/>
    <w:rsid w:val="00F24802"/>
    <w:rsid w:val="00F24C97"/>
    <w:rsid w:val="00F256D1"/>
    <w:rsid w:val="00F2626C"/>
    <w:rsid w:val="00F26AE5"/>
    <w:rsid w:val="00F26E13"/>
    <w:rsid w:val="00F27DDB"/>
    <w:rsid w:val="00F30CB6"/>
    <w:rsid w:val="00F3216D"/>
    <w:rsid w:val="00F32D8C"/>
    <w:rsid w:val="00F335E5"/>
    <w:rsid w:val="00F33A94"/>
    <w:rsid w:val="00F366D2"/>
    <w:rsid w:val="00F37974"/>
    <w:rsid w:val="00F40852"/>
    <w:rsid w:val="00F46157"/>
    <w:rsid w:val="00F4665C"/>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67804"/>
    <w:rsid w:val="00F70D0D"/>
    <w:rsid w:val="00F70DC1"/>
    <w:rsid w:val="00F71B56"/>
    <w:rsid w:val="00F72741"/>
    <w:rsid w:val="00F731EE"/>
    <w:rsid w:val="00F733A0"/>
    <w:rsid w:val="00F739BE"/>
    <w:rsid w:val="00F75B8C"/>
    <w:rsid w:val="00F76E04"/>
    <w:rsid w:val="00F833A7"/>
    <w:rsid w:val="00F84D94"/>
    <w:rsid w:val="00F86123"/>
    <w:rsid w:val="00F86166"/>
    <w:rsid w:val="00F9091F"/>
    <w:rsid w:val="00F92865"/>
    <w:rsid w:val="00F94621"/>
    <w:rsid w:val="00F94722"/>
    <w:rsid w:val="00F97D57"/>
    <w:rsid w:val="00FA10D3"/>
    <w:rsid w:val="00FA1477"/>
    <w:rsid w:val="00FA30F9"/>
    <w:rsid w:val="00FA4522"/>
    <w:rsid w:val="00FA5702"/>
    <w:rsid w:val="00FA59FD"/>
    <w:rsid w:val="00FA6A14"/>
    <w:rsid w:val="00FB11DD"/>
    <w:rsid w:val="00FB1E72"/>
    <w:rsid w:val="00FB1F5B"/>
    <w:rsid w:val="00FB2789"/>
    <w:rsid w:val="00FB2DAF"/>
    <w:rsid w:val="00FC32E6"/>
    <w:rsid w:val="00FC348F"/>
    <w:rsid w:val="00FC4861"/>
    <w:rsid w:val="00FC789F"/>
    <w:rsid w:val="00FC7B44"/>
    <w:rsid w:val="00FD1264"/>
    <w:rsid w:val="00FD196C"/>
    <w:rsid w:val="00FD25C4"/>
    <w:rsid w:val="00FD5D7B"/>
    <w:rsid w:val="00FD71C7"/>
    <w:rsid w:val="00FD7383"/>
    <w:rsid w:val="00FD755E"/>
    <w:rsid w:val="00FE124B"/>
    <w:rsid w:val="00FE1700"/>
    <w:rsid w:val="00FE1CC2"/>
    <w:rsid w:val="00FE2B54"/>
    <w:rsid w:val="00FE3E87"/>
    <w:rsid w:val="00FE4F8A"/>
    <w:rsid w:val="00FE5F7C"/>
    <w:rsid w:val="00FE6DB0"/>
    <w:rsid w:val="00FF0B90"/>
    <w:rsid w:val="00FF3B94"/>
    <w:rsid w:val="00FF555D"/>
    <w:rsid w:val="00FF5616"/>
    <w:rsid w:val="00FF61C0"/>
    <w:rsid w:val="11BDA3B7"/>
    <w:rsid w:val="2EC99CFA"/>
    <w:rsid w:val="2FC6CE3E"/>
    <w:rsid w:val="4F089848"/>
    <w:rsid w:val="6B90207F"/>
  </w:rsids>
  <w:docVars>
    <w:docVar w:name="AP Job Title" w:val="Not Assigned"/>
    <w:docVar w:name="Date Approved" w:val="01/30/2024"/>
    <w:docVar w:name="Date_Approved" w:val="01/30/2024"/>
    <w:docVar w:name="Document Title" w:val="Source Documentation Redaction -1202- Procedure"/>
    <w:docVar w:name="Last Periodic Review Date" w:val="01/30/2024"/>
    <w:docVar w:name="Last_Periodic_Review_Date" w:val="01/30/2024"/>
    <w:docVar w:name="Original Creation Date" w:val="Not Set"/>
    <w:docVar w:name="PO Both" w:val="Audrey King"/>
    <w:docVar w:name="PO_Both" w:val="Audrey King"/>
    <w:docVar w:name="WR Both" w:val="WR Both"/>
    <w:docVar w:name="WR Department" w:val="WR Department"/>
    <w:docVar w:name="__Grammarly_42___1" w:val="H4sIAAAAAAAEAKtWcslP9kxRslIyNDY2NDcyMjYytzSxNDQwMzRT0lEKTi0uzszPAykwNqwFAADpBXM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character" w:customStyle="1" w:styleId="Hyperlink0">
    <w:name w:val="Hyperlink.0"/>
    <w:basedOn w:val="DefaultParagraphFont"/>
    <w:rsid w:val="00735C9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yperlink" Target="https://www.investopedia.com/terms/e/erisa.asp" TargetMode="External" /><Relationship Id="rId15" Type="http://schemas.openxmlformats.org/officeDocument/2006/relationships/hyperlink" Target="https://www.investopedia.com/terms/h/healthinsurance.asp" TargetMode="External" /><Relationship Id="rId16" Type="http://schemas.openxmlformats.org/officeDocument/2006/relationships/hyperlink" Target="mailto:ycci.sop@yale.edu" TargetMode="External" /><Relationship Id="rId17" Type="http://schemas.openxmlformats.org/officeDocument/2006/relationships/hyperlink" Target="https://www.govinfo.gov/content/pkg/CFR-2010-title45-vol1/pdf/CFR-2010-title45-vol1-sec164-502.pdf" TargetMode="External" /><Relationship Id="rId18" Type="http://schemas.openxmlformats.org/officeDocument/2006/relationships/hyperlink" Target="https://www.hhs.gov/hipaa/for-professionals/privacy/special-topics/de-identification/index.html" TargetMode="External" /><Relationship Id="rId19" Type="http://schemas.openxmlformats.org/officeDocument/2006/relationships/hyperlink" Target="https://www.hhs.gov/hipaa/index.html" TargetMode="External" /><Relationship Id="rId2" Type="http://schemas.openxmlformats.org/officeDocument/2006/relationships/endnotes" Target="endnotes.xml" /><Relationship Id="rId20" Type="http://schemas.openxmlformats.org/officeDocument/2006/relationships/hyperlink" Target="https://georgewbush-whitehouse.archives.gov/omb/memoranda/fy2007/m07-16.pdf" TargetMode="External" /><Relationship Id="rId21" Type="http://schemas.openxmlformats.org/officeDocument/2006/relationships/hyperlink" Target="https://hipaa.yale.edu/sites/default/files/files/5039-PR.pdf" TargetMode="Externa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Jarosz, Michael</dc:creator>
  <cp:lastModifiedBy>Audrey King</cp:lastModifiedBy>
  <cp:revision>16</cp:revision>
  <cp:lastPrinted>2015-08-17T19:29:00Z</cp:lastPrinted>
  <dcterms:created xsi:type="dcterms:W3CDTF">2024-01-16T20:10:00Z</dcterms:created>
  <dcterms:modified xsi:type="dcterms:W3CDTF">2026-02-17T14:38:50Z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