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7BC85F01" w14:textId="77777777">
      <w:pPr>
        <w:pStyle w:val="SectionHeading"/>
        <w:rPr>
          <w:color w:val="17365D" w:themeColor="text2" w:themeShade="BF"/>
        </w:rPr>
      </w:pPr>
      <w:r w:rsidRPr="00EC53A3">
        <w:rPr>
          <w:color w:val="17365D" w:themeColor="text2" w:themeShade="BF"/>
        </w:rPr>
        <w:t>Scope</w:t>
      </w:r>
    </w:p>
    <w:p w:rsidR="00A16F95" w:rsidRPr="00A16F95" w:rsidP="00A16F95" w14:paraId="0D88F48F" w14:textId="6D623736">
      <w:r w:rsidRPr="00A16F95">
        <w:t xml:space="preserve">This procedure establishes the process to be followed by the Yale School of Medicine (YSM) in determining that a non-sponsored account receivable is uncollectible and reserving for and/or writing such accounts off from the general ledger as bad debt. </w:t>
      </w:r>
    </w:p>
    <w:p w:rsidR="00A16F95" w:rsidRPr="00A16F95" w:rsidP="00A16F95" w14:paraId="5A1AD84E" w14:textId="77777777"/>
    <w:p w:rsidR="00A16F95" w:rsidRPr="00A16F95" w:rsidP="00A16F95" w14:paraId="52E917AE" w14:textId="77777777">
      <w:r w:rsidRPr="00A16F95">
        <w:t xml:space="preserve">Non-sponsored accounts receivable balances, in general, are deemed bad debts once they have been outstanding for one year. </w:t>
      </w:r>
    </w:p>
    <w:p w:rsidR="00A16F95" w:rsidRPr="00A16F95" w:rsidP="00A16F95" w14:paraId="533E44E7" w14:textId="77777777"/>
    <w:p w:rsidR="00A16F95" w:rsidRPr="00A16F95" w:rsidP="00A16F95" w14:paraId="16E631D4" w14:textId="77777777">
      <w:r w:rsidRPr="00A16F95">
        <w:t xml:space="preserve">Exceptions to the one-year threshold relate to Fund (FD) 29 industry clinical trials and Epic patient accounts receivable. </w:t>
      </w:r>
    </w:p>
    <w:p w:rsidR="00561074" w:rsidRPr="00EC53A3" w:rsidP="00DE15D9" w14:paraId="50F1B21B" w14:textId="181258AD"/>
    <w:p w:rsidR="007D39A2" w:rsidRPr="00EC53A3" w:rsidP="00003662" w14:paraId="634AA2AD" w14:textId="77777777">
      <w:pPr>
        <w:pStyle w:val="SectionHeading"/>
        <w:rPr>
          <w:color w:val="17365D" w:themeColor="text2" w:themeShade="BF"/>
        </w:rPr>
      </w:pPr>
      <w:r>
        <w:rPr>
          <w:color w:val="17365D" w:themeColor="text2" w:themeShade="BF"/>
        </w:rPr>
        <w:t>Procedure Purpose</w:t>
      </w:r>
    </w:p>
    <w:p w:rsidR="00A16F95" w:rsidRPr="00A16F95" w:rsidP="00A16F95" w14:paraId="1D944EE0" w14:textId="5E7D29ED">
      <w:pPr>
        <w:tabs>
          <w:tab w:val="left" w:pos="6645"/>
        </w:tabs>
      </w:pPr>
      <w:r w:rsidRPr="00A16F95">
        <w:t xml:space="preserve">YSM’s accounts receivable balances are to be recorded at a net realizable value, indicating the amount YSM expects to ultimately receive in payment. This accounting is achieved via a write-off or a balance sheet reserve (i.e., and allowance for doubtful accounts or bad debt reserve). </w:t>
      </w:r>
    </w:p>
    <w:p w:rsidR="00A16F95" w:rsidRPr="00A16F95" w:rsidP="00A16F95" w14:paraId="5DA2A5F0" w14:textId="77777777">
      <w:pPr>
        <w:tabs>
          <w:tab w:val="left" w:pos="6645"/>
        </w:tabs>
      </w:pPr>
    </w:p>
    <w:p w:rsidR="00A16F95" w:rsidRPr="00A16F95" w:rsidP="00A16F95" w14:paraId="43C4DBBA" w14:textId="77777777">
      <w:pPr>
        <w:tabs>
          <w:tab w:val="left" w:pos="6645"/>
        </w:tabs>
      </w:pPr>
      <w:r w:rsidRPr="00A16F95">
        <w:t>The write-off of an account deemed uncollectible is a bookkeeping entry only and does not necessarily relieve the payor of its responsibility to Yale University (the university).  Although the uncollected account is no longer reflected in the university’s records, the university may still have a right to the amount. Conversely, the payor may still pay the university on the outstanding balance.</w:t>
      </w:r>
    </w:p>
    <w:p w:rsidR="00ED0249" w:rsidRPr="00EC53A3" w:rsidP="00EB5783" w14:paraId="414FC421" w14:textId="722E4BDA">
      <w:pPr>
        <w:tabs>
          <w:tab w:val="left" w:pos="6645"/>
        </w:tabs>
      </w:pPr>
      <w:r>
        <w:tab/>
      </w:r>
    </w:p>
    <w:p w:rsidR="00271F83" w:rsidRPr="00EC53A3" w:rsidP="00003662" w14:paraId="2C23F471" w14:textId="77777777">
      <w:pPr>
        <w:pStyle w:val="SectionHeading"/>
        <w:rPr>
          <w:color w:val="17365D" w:themeColor="text2" w:themeShade="BF"/>
        </w:rPr>
      </w:pPr>
      <w:r w:rsidRPr="00EC53A3">
        <w:rPr>
          <w:color w:val="17365D" w:themeColor="text2" w:themeShade="BF"/>
        </w:rPr>
        <w:t>Definitions</w:t>
      </w:r>
    </w:p>
    <w:p w:rsidR="00A16F95" w:rsidP="00003662" w14:paraId="58236278" w14:textId="77777777">
      <w:pPr>
        <w:pStyle w:val="SectionHeading"/>
        <w:rPr>
          <w:color w:val="17365D" w:themeColor="text2" w:themeShade="BF"/>
        </w:rPr>
      </w:pPr>
      <w:bookmarkStart w:id="0" w:name="_Toc425171621"/>
    </w:p>
    <w:p w:rsidR="00A16F95" w:rsidP="00003662" w14:paraId="7DE511E5" w14:textId="77777777">
      <w:pPr>
        <w:pStyle w:val="SectionHeading"/>
        <w:rPr>
          <w:color w:val="17365D" w:themeColor="text2" w:themeShade="BF"/>
        </w:rPr>
      </w:pPr>
    </w:p>
    <w:p w:rsidR="001B7499" w:rsidRPr="00EC53A3" w:rsidP="00003662" w14:paraId="03517CC1" w14:textId="02BE432A">
      <w:pPr>
        <w:pStyle w:val="SectionHeading"/>
        <w:rPr>
          <w:color w:val="17365D" w:themeColor="text2" w:themeShade="BF"/>
        </w:rPr>
      </w:pPr>
      <w:r>
        <w:rPr>
          <w:color w:val="17365D" w:themeColor="text2" w:themeShade="BF"/>
        </w:rPr>
        <w:t>Procedure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A16F95" w:rsidP="00A16F95" w14:paraId="435EF40F" w14:textId="3BACCAC7">
      <w:pPr>
        <w:pStyle w:val="1-PolicySectionlevel"/>
        <w:numPr>
          <w:ilvl w:val="0"/>
          <w:numId w:val="16"/>
        </w:numPr>
      </w:pPr>
      <w:r>
        <w:t xml:space="preserve">Specific Procedures for Write-offs </w:t>
      </w:r>
    </w:p>
    <w:p w:rsidR="00A16F95" w:rsidP="00A16F95" w14:paraId="2CC5B5F2" w14:textId="1C9282C4">
      <w:r>
        <w:t xml:space="preserve">Non-sponsored accounts receivable balances greater than one year old, </w:t>
      </w:r>
      <w:bookmarkStart w:id="4" w:name="_Hlk121737084"/>
      <w:r>
        <w:t>where all collections efforts have been exhausted and that have had no associated current activity (e.g., a payment plan or a written promise to pay), will be written off</w:t>
      </w:r>
      <w:bookmarkEnd w:id="4"/>
      <w:r>
        <w:t xml:space="preserve">. Exceptions to the one-year threshold include FD29 industry clinical trials. Refer to: Industry Clinical Trials, below, for additional information. The Centralized Billing Team will attempt to contact the customer. If the customer is unresponsive, the Centralized Billing Team will notify the department. If the department cannot collect on </w:t>
      </w:r>
      <w:r>
        <w:t xml:space="preserve">the balance, the Centralized Billing Team will then initiate the adjustment through the “Write Off Bad Debt On Customer Invoice” function in Workday, which </w:t>
      </w:r>
      <w:r>
        <w:t xml:space="preserve">will be routed to the department for approval within the system. </w:t>
      </w:r>
      <w:r w:rsidRPr="005875B4" w:rsidR="005875B4">
        <w:t>When accounts receivable balances are written off, internal assessments are not returned to the department.</w:t>
      </w:r>
    </w:p>
    <w:p w:rsidR="00A16F95" w:rsidP="00A16F95" w14:paraId="37E1DE3B" w14:textId="77777777"/>
    <w:p w:rsidR="00A16F95" w:rsidP="00A16F95" w14:paraId="6F1744B0" w14:textId="77777777">
      <w:r>
        <w:t xml:space="preserve">If the department can demonstrate that additional steps have been taken to collect the outstanding balances and that the balance is collectible, they will present the related support and approval from its Finance &amp; Administration Manager for review to the YSM Controller’s Office. Refer to </w:t>
      </w:r>
      <w:r>
        <w:rPr>
          <w:b/>
          <w:bCs/>
        </w:rPr>
        <w:t>Special Situations &amp; Exceptions</w:t>
      </w:r>
      <w:r>
        <w:t xml:space="preserve">, below. </w:t>
      </w:r>
    </w:p>
    <w:p w:rsidR="00A16F95" w:rsidP="00A16F95" w14:paraId="6AB30A2C" w14:textId="77777777"/>
    <w:p w:rsidR="00A16F95" w:rsidP="00A16F95" w14:paraId="719A2C19" w14:textId="77777777">
      <w:r>
        <w:t>Any collections on bad debts that have already been written off, and revenue will be credited to the department’s cost center. These payments should be sent directly to Treasury Services who will process a corresponding cancellation of the original bad debt adjustment on the invoice in Workday. A cash sale must not be initiated in this case.</w:t>
      </w:r>
    </w:p>
    <w:p w:rsidR="00A16F95" w:rsidP="00A16F95" w14:paraId="429AAD6C" w14:textId="77777777">
      <w:pPr>
        <w:pStyle w:val="1-PolicySectionlevel"/>
        <w:numPr>
          <w:ilvl w:val="0"/>
          <w:numId w:val="16"/>
        </w:numPr>
      </w:pPr>
      <w:r>
        <w:t>Specific Procedures for Reserves</w:t>
      </w:r>
    </w:p>
    <w:p w:rsidR="00A16F95" w:rsidP="00A16F95" w14:paraId="42FBE944" w14:textId="77777777">
      <w:pPr>
        <w:pStyle w:val="BodyText"/>
        <w:spacing w:before="120"/>
        <w:jc w:val="both"/>
        <w:rPr>
          <w:rFonts w:cs="Arial"/>
        </w:rPr>
      </w:pPr>
      <w:r>
        <w:t>At Q2 and year-end</w:t>
      </w:r>
      <w:r>
        <w:rPr>
          <w:rFonts w:cs="Arial"/>
          <w:color w:val="000000"/>
          <w:spacing w:val="5"/>
          <w:shd w:val="clear" w:color="auto" w:fill="FFFFFF"/>
        </w:rPr>
        <w:t>, the YSM Controller’s Office will estimate an allowance for doubtful accounts on non-sponsored accounts receivable balances. A bad debt reserve and corresponding bad debt expense will be recorded/adjusted in the general ledger in a YSM Central cost center.</w:t>
      </w:r>
    </w:p>
    <w:p w:rsidR="00A16F95" w:rsidP="00A16F95" w14:paraId="5530B828" w14:textId="77777777">
      <w:pPr>
        <w:pStyle w:val="BodyText"/>
        <w:spacing w:before="120"/>
        <w:jc w:val="both"/>
        <w:rPr>
          <w:rFonts w:cs="Arial"/>
          <w:color w:val="000000"/>
          <w:spacing w:val="5"/>
          <w:shd w:val="clear" w:color="auto" w:fill="FFFFFF"/>
        </w:rPr>
      </w:pPr>
      <w:r>
        <w:rPr>
          <w:rFonts w:cs="Arial"/>
          <w:color w:val="000000"/>
          <w:spacing w:val="5"/>
          <w:shd w:val="clear" w:color="auto" w:fill="FFFFFF"/>
        </w:rPr>
        <w:t xml:space="preserve">An allowance for doubtful accounts will be recorded based on the aging of invoices as follows: </w:t>
      </w:r>
    </w:p>
    <w:tbl>
      <w:tblPr>
        <w:tblStyle w:val="TableGrid"/>
        <w:tblpPr w:leftFromText="180" w:rightFromText="180" w:bottomFromText="80" w:vertAnchor="text" w:horzAnchor="margin" w:tblpXSpec="center" w:tblpY="117"/>
        <w:tblW w:w="0" w:type="auto"/>
        <w:tblLook w:val="04A0"/>
      </w:tblPr>
      <w:tblGrid>
        <w:gridCol w:w="3865"/>
        <w:gridCol w:w="2430"/>
      </w:tblGrid>
      <w:tr w14:paraId="381E48A2" w14:textId="77777777" w:rsidTr="00A16F95">
        <w:tblPrEx>
          <w:tblW w:w="0" w:type="auto"/>
          <w:tblLook w:val="04A0"/>
        </w:tblPrEx>
        <w:trPr>
          <w:trHeight w:val="395"/>
        </w:trPr>
        <w:tc>
          <w:tcPr>
            <w:tcW w:w="3865" w:type="dxa"/>
            <w:tcBorders>
              <w:top w:val="single" w:sz="4" w:space="0" w:color="auto"/>
              <w:left w:val="single" w:sz="4" w:space="0" w:color="auto"/>
              <w:bottom w:val="single" w:sz="4" w:space="0" w:color="auto"/>
              <w:right w:val="single" w:sz="4" w:space="0" w:color="auto"/>
            </w:tcBorders>
            <w:vAlign w:val="center"/>
            <w:hideMark/>
          </w:tcPr>
          <w:p w:rsidR="00A16F95" w14:paraId="4915CA4C" w14:textId="77777777">
            <w:pPr>
              <w:pStyle w:val="BodyText"/>
              <w:spacing w:before="0" w:after="0"/>
              <w:rPr>
                <w:rFonts w:cs="Arial"/>
                <w:b/>
                <w:bCs/>
                <w:color w:val="000000"/>
                <w:spacing w:val="5"/>
                <w:shd w:val="clear" w:color="auto" w:fill="FFFFFF"/>
              </w:rPr>
            </w:pPr>
            <w:r>
              <w:rPr>
                <w:rFonts w:cs="Arial"/>
                <w:b/>
                <w:bCs/>
                <w:color w:val="000000"/>
                <w:spacing w:val="5"/>
                <w:shd w:val="clear" w:color="auto" w:fill="FFFFFF"/>
              </w:rPr>
              <w:t xml:space="preserve">Aging Category </w:t>
            </w:r>
          </w:p>
        </w:tc>
        <w:tc>
          <w:tcPr>
            <w:tcW w:w="2430" w:type="dxa"/>
            <w:tcBorders>
              <w:top w:val="single" w:sz="4" w:space="0" w:color="auto"/>
              <w:left w:val="single" w:sz="4" w:space="0" w:color="auto"/>
              <w:bottom w:val="single" w:sz="4" w:space="0" w:color="auto"/>
              <w:right w:val="single" w:sz="4" w:space="0" w:color="auto"/>
            </w:tcBorders>
            <w:vAlign w:val="center"/>
            <w:hideMark/>
          </w:tcPr>
          <w:p w:rsidR="00A16F95" w14:paraId="63FE916F" w14:textId="77777777">
            <w:pPr>
              <w:pStyle w:val="BodyText"/>
              <w:spacing w:before="0" w:after="0"/>
              <w:rPr>
                <w:rFonts w:cs="Arial"/>
                <w:b/>
                <w:bCs/>
                <w:color w:val="000000"/>
                <w:spacing w:val="5"/>
                <w:shd w:val="clear" w:color="auto" w:fill="FFFFFF"/>
              </w:rPr>
            </w:pPr>
            <w:r>
              <w:rPr>
                <w:rFonts w:cs="Arial"/>
                <w:b/>
                <w:bCs/>
                <w:color w:val="000000"/>
                <w:spacing w:val="5"/>
                <w:shd w:val="clear" w:color="auto" w:fill="FFFFFF"/>
              </w:rPr>
              <w:t>Reserve Percentage</w:t>
            </w:r>
          </w:p>
        </w:tc>
      </w:tr>
      <w:tr w14:paraId="4DBE6EA8" w14:textId="77777777" w:rsidTr="00A16F95">
        <w:tblPrEx>
          <w:tblW w:w="0" w:type="auto"/>
          <w:tblLook w:val="04A0"/>
        </w:tblPrEx>
        <w:trPr>
          <w:trHeight w:val="395"/>
        </w:trPr>
        <w:tc>
          <w:tcPr>
            <w:tcW w:w="3865" w:type="dxa"/>
            <w:tcBorders>
              <w:top w:val="single" w:sz="4" w:space="0" w:color="auto"/>
              <w:left w:val="single" w:sz="4" w:space="0" w:color="auto"/>
              <w:bottom w:val="single" w:sz="4" w:space="0" w:color="auto"/>
              <w:right w:val="single" w:sz="4" w:space="0" w:color="auto"/>
            </w:tcBorders>
            <w:vAlign w:val="center"/>
            <w:hideMark/>
          </w:tcPr>
          <w:p w:rsidR="00A16F95" w14:paraId="7CD54B9C" w14:textId="77777777">
            <w:pPr>
              <w:pStyle w:val="BodyText"/>
              <w:spacing w:before="0" w:after="0"/>
              <w:rPr>
                <w:rFonts w:cs="Arial"/>
                <w:color w:val="000000"/>
                <w:spacing w:val="5"/>
                <w:shd w:val="clear" w:color="auto" w:fill="FFFFFF"/>
              </w:rPr>
            </w:pPr>
            <w:r>
              <w:rPr>
                <w:rFonts w:cs="Arial"/>
                <w:color w:val="000000"/>
                <w:spacing w:val="5"/>
                <w:shd w:val="clear" w:color="auto" w:fill="FFFFFF"/>
              </w:rPr>
              <w:t>Current</w:t>
            </w:r>
          </w:p>
        </w:tc>
        <w:tc>
          <w:tcPr>
            <w:tcW w:w="2430" w:type="dxa"/>
            <w:tcBorders>
              <w:top w:val="single" w:sz="4" w:space="0" w:color="auto"/>
              <w:left w:val="single" w:sz="4" w:space="0" w:color="auto"/>
              <w:bottom w:val="single" w:sz="4" w:space="0" w:color="auto"/>
              <w:right w:val="single" w:sz="4" w:space="0" w:color="auto"/>
            </w:tcBorders>
            <w:vAlign w:val="center"/>
            <w:hideMark/>
          </w:tcPr>
          <w:p w:rsidR="00A16F95" w14:paraId="1DC29AEE" w14:textId="77777777">
            <w:pPr>
              <w:pStyle w:val="BodyText"/>
              <w:spacing w:before="0" w:after="0"/>
              <w:rPr>
                <w:rFonts w:cs="Arial"/>
                <w:color w:val="000000"/>
                <w:spacing w:val="5"/>
                <w:shd w:val="clear" w:color="auto" w:fill="FFFFFF"/>
              </w:rPr>
            </w:pPr>
            <w:r>
              <w:rPr>
                <w:rFonts w:cs="Arial"/>
                <w:color w:val="000000"/>
                <w:spacing w:val="5"/>
                <w:shd w:val="clear" w:color="auto" w:fill="FFFFFF"/>
              </w:rPr>
              <w:t>0%</w:t>
            </w:r>
          </w:p>
        </w:tc>
      </w:tr>
      <w:tr w14:paraId="7460BE6B" w14:textId="77777777" w:rsidTr="00A16F95">
        <w:tblPrEx>
          <w:tblW w:w="0" w:type="auto"/>
          <w:tblLook w:val="04A0"/>
        </w:tblPrEx>
        <w:tc>
          <w:tcPr>
            <w:tcW w:w="3865" w:type="dxa"/>
            <w:tcBorders>
              <w:top w:val="single" w:sz="4" w:space="0" w:color="auto"/>
              <w:left w:val="single" w:sz="4" w:space="0" w:color="auto"/>
              <w:bottom w:val="single" w:sz="4" w:space="0" w:color="auto"/>
              <w:right w:val="single" w:sz="4" w:space="0" w:color="auto"/>
            </w:tcBorders>
            <w:vAlign w:val="center"/>
            <w:hideMark/>
          </w:tcPr>
          <w:p w:rsidR="00A16F95" w14:paraId="1DA806D7" w14:textId="77777777">
            <w:pPr>
              <w:pStyle w:val="BodyText"/>
              <w:spacing w:before="120"/>
              <w:rPr>
                <w:rFonts w:cs="Arial"/>
                <w:color w:val="000000"/>
                <w:spacing w:val="5"/>
                <w:shd w:val="clear" w:color="auto" w:fill="FFFFFF"/>
              </w:rPr>
            </w:pPr>
            <w:r>
              <w:rPr>
                <w:rFonts w:cs="Arial"/>
                <w:color w:val="000000"/>
                <w:spacing w:val="5"/>
                <w:shd w:val="clear" w:color="auto" w:fill="FFFFFF"/>
              </w:rPr>
              <w:t>31 – 60 days past due</w:t>
            </w:r>
          </w:p>
        </w:tc>
        <w:tc>
          <w:tcPr>
            <w:tcW w:w="2430" w:type="dxa"/>
            <w:tcBorders>
              <w:top w:val="single" w:sz="4" w:space="0" w:color="auto"/>
              <w:left w:val="single" w:sz="4" w:space="0" w:color="auto"/>
              <w:bottom w:val="single" w:sz="4" w:space="0" w:color="auto"/>
              <w:right w:val="single" w:sz="4" w:space="0" w:color="auto"/>
            </w:tcBorders>
            <w:vAlign w:val="center"/>
            <w:hideMark/>
          </w:tcPr>
          <w:p w:rsidR="00A16F95" w14:paraId="521B177C" w14:textId="77777777">
            <w:pPr>
              <w:pStyle w:val="BodyText"/>
              <w:spacing w:before="120"/>
              <w:rPr>
                <w:rFonts w:cs="Arial"/>
                <w:color w:val="000000"/>
                <w:spacing w:val="5"/>
                <w:shd w:val="clear" w:color="auto" w:fill="FFFFFF"/>
              </w:rPr>
            </w:pPr>
            <w:r>
              <w:rPr>
                <w:rFonts w:cs="Arial"/>
                <w:color w:val="000000"/>
                <w:spacing w:val="5"/>
                <w:shd w:val="clear" w:color="auto" w:fill="FFFFFF"/>
              </w:rPr>
              <w:t>0%</w:t>
            </w:r>
          </w:p>
        </w:tc>
      </w:tr>
      <w:tr w14:paraId="4B4A75E1" w14:textId="77777777" w:rsidTr="00A16F95">
        <w:tblPrEx>
          <w:tblW w:w="0" w:type="auto"/>
          <w:tblLook w:val="04A0"/>
        </w:tblPrEx>
        <w:tc>
          <w:tcPr>
            <w:tcW w:w="3865" w:type="dxa"/>
            <w:tcBorders>
              <w:top w:val="single" w:sz="4" w:space="0" w:color="auto"/>
              <w:left w:val="single" w:sz="4" w:space="0" w:color="auto"/>
              <w:bottom w:val="single" w:sz="4" w:space="0" w:color="auto"/>
              <w:right w:val="single" w:sz="4" w:space="0" w:color="auto"/>
            </w:tcBorders>
            <w:vAlign w:val="center"/>
            <w:hideMark/>
          </w:tcPr>
          <w:p w:rsidR="00A16F95" w14:paraId="3E760EED" w14:textId="77777777">
            <w:pPr>
              <w:pStyle w:val="BodyText"/>
              <w:spacing w:before="120"/>
              <w:rPr>
                <w:rFonts w:cs="Arial"/>
                <w:color w:val="000000"/>
                <w:spacing w:val="5"/>
                <w:shd w:val="clear" w:color="auto" w:fill="FFFFFF"/>
              </w:rPr>
            </w:pPr>
            <w:r>
              <w:rPr>
                <w:rFonts w:cs="Arial"/>
                <w:color w:val="000000"/>
                <w:spacing w:val="5"/>
                <w:shd w:val="clear" w:color="auto" w:fill="FFFFFF"/>
              </w:rPr>
              <w:t>61 – 90 days past due</w:t>
            </w:r>
          </w:p>
        </w:tc>
        <w:tc>
          <w:tcPr>
            <w:tcW w:w="2430" w:type="dxa"/>
            <w:tcBorders>
              <w:top w:val="single" w:sz="4" w:space="0" w:color="auto"/>
              <w:left w:val="single" w:sz="4" w:space="0" w:color="auto"/>
              <w:bottom w:val="single" w:sz="4" w:space="0" w:color="auto"/>
              <w:right w:val="single" w:sz="4" w:space="0" w:color="auto"/>
            </w:tcBorders>
            <w:vAlign w:val="center"/>
            <w:hideMark/>
          </w:tcPr>
          <w:p w:rsidR="00A16F95" w14:paraId="52275DE8" w14:textId="77777777">
            <w:pPr>
              <w:pStyle w:val="BodyText"/>
              <w:spacing w:before="120"/>
              <w:rPr>
                <w:rFonts w:cs="Arial"/>
                <w:color w:val="000000"/>
                <w:spacing w:val="5"/>
                <w:shd w:val="clear" w:color="auto" w:fill="FFFFFF"/>
              </w:rPr>
            </w:pPr>
            <w:r>
              <w:rPr>
                <w:rFonts w:cs="Arial"/>
                <w:color w:val="000000"/>
                <w:spacing w:val="5"/>
                <w:shd w:val="clear" w:color="auto" w:fill="FFFFFF"/>
              </w:rPr>
              <w:t>0%</w:t>
            </w:r>
          </w:p>
        </w:tc>
      </w:tr>
      <w:tr w14:paraId="6B782F27" w14:textId="77777777" w:rsidTr="00A16F95">
        <w:tblPrEx>
          <w:tblW w:w="0" w:type="auto"/>
          <w:tblLook w:val="04A0"/>
        </w:tblPrEx>
        <w:trPr>
          <w:trHeight w:val="359"/>
        </w:trPr>
        <w:tc>
          <w:tcPr>
            <w:tcW w:w="3865" w:type="dxa"/>
            <w:tcBorders>
              <w:top w:val="single" w:sz="4" w:space="0" w:color="auto"/>
              <w:left w:val="single" w:sz="4" w:space="0" w:color="auto"/>
              <w:bottom w:val="single" w:sz="4" w:space="0" w:color="auto"/>
              <w:right w:val="single" w:sz="4" w:space="0" w:color="auto"/>
            </w:tcBorders>
            <w:vAlign w:val="center"/>
            <w:hideMark/>
          </w:tcPr>
          <w:p w:rsidR="00A16F95" w14:paraId="02992876" w14:textId="77777777">
            <w:pPr>
              <w:pStyle w:val="BodyText"/>
              <w:spacing w:before="120"/>
              <w:rPr>
                <w:rFonts w:cs="Arial"/>
                <w:color w:val="000000"/>
                <w:spacing w:val="5"/>
                <w:shd w:val="clear" w:color="auto" w:fill="FFFFFF"/>
              </w:rPr>
            </w:pPr>
            <w:r>
              <w:rPr>
                <w:rFonts w:cs="Arial"/>
                <w:color w:val="000000"/>
                <w:spacing w:val="5"/>
                <w:shd w:val="clear" w:color="auto" w:fill="FFFFFF"/>
              </w:rPr>
              <w:t>91 – 120 days past due</w:t>
            </w:r>
          </w:p>
        </w:tc>
        <w:tc>
          <w:tcPr>
            <w:tcW w:w="2430" w:type="dxa"/>
            <w:tcBorders>
              <w:top w:val="single" w:sz="4" w:space="0" w:color="auto"/>
              <w:left w:val="single" w:sz="4" w:space="0" w:color="auto"/>
              <w:bottom w:val="single" w:sz="4" w:space="0" w:color="auto"/>
              <w:right w:val="single" w:sz="4" w:space="0" w:color="auto"/>
            </w:tcBorders>
            <w:vAlign w:val="center"/>
            <w:hideMark/>
          </w:tcPr>
          <w:p w:rsidR="00A16F95" w14:paraId="48B1E3AD" w14:textId="77777777">
            <w:pPr>
              <w:pStyle w:val="BodyText"/>
              <w:spacing w:before="120"/>
              <w:rPr>
                <w:rFonts w:cs="Arial"/>
                <w:color w:val="000000"/>
                <w:spacing w:val="5"/>
                <w:shd w:val="clear" w:color="auto" w:fill="FFFFFF"/>
              </w:rPr>
            </w:pPr>
            <w:r>
              <w:rPr>
                <w:rFonts w:cs="Arial"/>
                <w:color w:val="000000"/>
                <w:spacing w:val="5"/>
                <w:shd w:val="clear" w:color="auto" w:fill="FFFFFF"/>
              </w:rPr>
              <w:t>0%</w:t>
            </w:r>
          </w:p>
        </w:tc>
      </w:tr>
      <w:tr w14:paraId="36670515" w14:textId="77777777" w:rsidTr="00A16F95">
        <w:tblPrEx>
          <w:tblW w:w="0" w:type="auto"/>
          <w:tblLook w:val="04A0"/>
        </w:tblPrEx>
        <w:tc>
          <w:tcPr>
            <w:tcW w:w="3865" w:type="dxa"/>
            <w:tcBorders>
              <w:top w:val="single" w:sz="4" w:space="0" w:color="auto"/>
              <w:left w:val="single" w:sz="4" w:space="0" w:color="auto"/>
              <w:bottom w:val="single" w:sz="4" w:space="0" w:color="auto"/>
              <w:right w:val="single" w:sz="4" w:space="0" w:color="auto"/>
            </w:tcBorders>
            <w:vAlign w:val="center"/>
            <w:hideMark/>
          </w:tcPr>
          <w:p w:rsidR="00A16F95" w14:paraId="7CB5CAB3" w14:textId="77777777">
            <w:pPr>
              <w:pStyle w:val="BodyText"/>
              <w:spacing w:before="120"/>
              <w:rPr>
                <w:rFonts w:cs="Arial"/>
                <w:color w:val="000000"/>
                <w:spacing w:val="5"/>
                <w:shd w:val="clear" w:color="auto" w:fill="FFFFFF"/>
              </w:rPr>
            </w:pPr>
            <w:r>
              <w:rPr>
                <w:rFonts w:cs="Arial"/>
                <w:color w:val="000000"/>
                <w:spacing w:val="5"/>
                <w:shd w:val="clear" w:color="auto" w:fill="FFFFFF"/>
              </w:rPr>
              <w:t>121 – 365 days past due</w:t>
            </w:r>
          </w:p>
        </w:tc>
        <w:tc>
          <w:tcPr>
            <w:tcW w:w="2430" w:type="dxa"/>
            <w:tcBorders>
              <w:top w:val="single" w:sz="4" w:space="0" w:color="auto"/>
              <w:left w:val="single" w:sz="4" w:space="0" w:color="auto"/>
              <w:bottom w:val="single" w:sz="4" w:space="0" w:color="auto"/>
              <w:right w:val="single" w:sz="4" w:space="0" w:color="auto"/>
            </w:tcBorders>
            <w:vAlign w:val="center"/>
            <w:hideMark/>
          </w:tcPr>
          <w:p w:rsidR="00A16F95" w14:paraId="652E25A5" w14:textId="77777777">
            <w:pPr>
              <w:pStyle w:val="BodyText"/>
              <w:spacing w:before="120"/>
              <w:rPr>
                <w:rFonts w:cs="Arial"/>
                <w:color w:val="000000"/>
                <w:spacing w:val="5"/>
                <w:shd w:val="clear" w:color="auto" w:fill="FFFFFF"/>
              </w:rPr>
            </w:pPr>
            <w:r>
              <w:rPr>
                <w:rFonts w:cs="Arial"/>
                <w:color w:val="000000"/>
                <w:spacing w:val="5"/>
                <w:shd w:val="clear" w:color="auto" w:fill="FFFFFF"/>
              </w:rPr>
              <w:t>50%</w:t>
            </w:r>
          </w:p>
        </w:tc>
      </w:tr>
      <w:tr w14:paraId="3FF5D451" w14:textId="77777777" w:rsidTr="00A16F95">
        <w:tblPrEx>
          <w:tblW w:w="0" w:type="auto"/>
          <w:tblLook w:val="04A0"/>
        </w:tblPrEx>
        <w:tc>
          <w:tcPr>
            <w:tcW w:w="3865" w:type="dxa"/>
            <w:tcBorders>
              <w:top w:val="single" w:sz="4" w:space="0" w:color="auto"/>
              <w:left w:val="single" w:sz="4" w:space="0" w:color="auto"/>
              <w:bottom w:val="single" w:sz="4" w:space="0" w:color="auto"/>
              <w:right w:val="single" w:sz="4" w:space="0" w:color="auto"/>
            </w:tcBorders>
            <w:vAlign w:val="center"/>
            <w:hideMark/>
          </w:tcPr>
          <w:p w:rsidR="00A16F95" w14:paraId="293ABDD0" w14:textId="77777777">
            <w:pPr>
              <w:pStyle w:val="BodyText"/>
              <w:spacing w:before="120"/>
              <w:rPr>
                <w:rFonts w:cs="Arial"/>
                <w:color w:val="000000"/>
                <w:spacing w:val="5"/>
                <w:shd w:val="clear" w:color="auto" w:fill="FFFFFF"/>
              </w:rPr>
            </w:pPr>
            <w:r>
              <w:rPr>
                <w:rFonts w:cs="Arial"/>
                <w:color w:val="000000"/>
                <w:spacing w:val="5"/>
                <w:shd w:val="clear" w:color="auto" w:fill="FFFFFF"/>
              </w:rPr>
              <w:t>Greater than one year</w:t>
            </w:r>
          </w:p>
        </w:tc>
        <w:tc>
          <w:tcPr>
            <w:tcW w:w="2430" w:type="dxa"/>
            <w:tcBorders>
              <w:top w:val="single" w:sz="4" w:space="0" w:color="auto"/>
              <w:left w:val="single" w:sz="4" w:space="0" w:color="auto"/>
              <w:bottom w:val="single" w:sz="4" w:space="0" w:color="auto"/>
              <w:right w:val="single" w:sz="4" w:space="0" w:color="auto"/>
            </w:tcBorders>
            <w:vAlign w:val="center"/>
            <w:hideMark/>
          </w:tcPr>
          <w:p w:rsidR="00A16F95" w14:paraId="4D909D78" w14:textId="77777777">
            <w:pPr>
              <w:pStyle w:val="BodyText"/>
              <w:spacing w:before="120"/>
              <w:rPr>
                <w:rFonts w:cs="Arial"/>
                <w:color w:val="000000"/>
                <w:spacing w:val="5"/>
                <w:shd w:val="clear" w:color="auto" w:fill="FFFFFF"/>
              </w:rPr>
            </w:pPr>
            <w:r>
              <w:rPr>
                <w:rFonts w:cs="Arial"/>
                <w:color w:val="000000"/>
                <w:spacing w:val="5"/>
                <w:shd w:val="clear" w:color="auto" w:fill="FFFFFF"/>
              </w:rPr>
              <w:t>100%</w:t>
            </w:r>
          </w:p>
        </w:tc>
      </w:tr>
    </w:tbl>
    <w:p w:rsidR="00A16F95" w:rsidP="00A16F95" w14:paraId="54DF0B74" w14:textId="77777777">
      <w:pPr>
        <w:pStyle w:val="2-PolicySectionLevel"/>
        <w:numPr>
          <w:ilvl w:val="0"/>
          <w:numId w:val="0"/>
        </w:numPr>
      </w:pPr>
    </w:p>
    <w:p w:rsidR="00A16F95" w:rsidP="00A16F95" w14:paraId="0BC74DCA" w14:textId="77777777">
      <w:pPr>
        <w:pStyle w:val="2-PolicySectionLevel"/>
        <w:numPr>
          <w:ilvl w:val="0"/>
          <w:numId w:val="0"/>
        </w:numPr>
      </w:pPr>
    </w:p>
    <w:p w:rsidR="00A16F95" w:rsidP="00A16F95" w14:paraId="78000064" w14:textId="77777777">
      <w:pPr>
        <w:pStyle w:val="1-PolicySectionlevel"/>
        <w:numPr>
          <w:ilvl w:val="0"/>
          <w:numId w:val="0"/>
        </w:numPr>
        <w:ind w:left="1440"/>
        <w:rPr>
          <w:b w:val="0"/>
          <w:bCs w:val="0"/>
        </w:rPr>
      </w:pPr>
    </w:p>
    <w:p w:rsidR="00A16F95" w:rsidP="00A16F95" w14:paraId="331BFD81" w14:textId="77777777">
      <w:pPr>
        <w:pStyle w:val="1-PolicySectionlevel"/>
        <w:numPr>
          <w:ilvl w:val="0"/>
          <w:numId w:val="0"/>
        </w:numPr>
        <w:ind w:left="1440"/>
        <w:rPr>
          <w:b w:val="0"/>
          <w:bCs w:val="0"/>
        </w:rPr>
      </w:pPr>
    </w:p>
    <w:p w:rsidR="00A16F95" w:rsidP="00A16F95" w14:paraId="53D91D65" w14:textId="77777777">
      <w:pPr>
        <w:pStyle w:val="1-PolicySectionlevel"/>
        <w:numPr>
          <w:ilvl w:val="0"/>
          <w:numId w:val="0"/>
        </w:numPr>
        <w:ind w:left="1440"/>
        <w:rPr>
          <w:b w:val="0"/>
          <w:bCs w:val="0"/>
        </w:rPr>
      </w:pPr>
    </w:p>
    <w:p w:rsidR="00A16F95" w:rsidP="00A16F95" w14:paraId="4B499C3C" w14:textId="77777777">
      <w:pPr>
        <w:pStyle w:val="1-PolicySectionlevel"/>
        <w:numPr>
          <w:ilvl w:val="0"/>
          <w:numId w:val="0"/>
        </w:numPr>
        <w:ind w:left="1440"/>
        <w:rPr>
          <w:b w:val="0"/>
          <w:bCs w:val="0"/>
        </w:rPr>
      </w:pPr>
    </w:p>
    <w:p w:rsidR="00A16F95" w:rsidP="00A16F95" w14:paraId="61FB7CE4" w14:textId="77777777">
      <w:pPr>
        <w:pStyle w:val="1-PolicySectionlevel"/>
        <w:numPr>
          <w:ilvl w:val="0"/>
          <w:numId w:val="0"/>
        </w:numPr>
        <w:ind w:left="1440"/>
        <w:rPr>
          <w:b w:val="0"/>
          <w:bCs w:val="0"/>
        </w:rPr>
      </w:pPr>
    </w:p>
    <w:p w:rsidR="00A16F95" w:rsidP="00A16F95" w14:paraId="07F32188" w14:textId="77777777">
      <w:pPr>
        <w:pStyle w:val="1-PolicySectionlevel"/>
        <w:numPr>
          <w:ilvl w:val="0"/>
          <w:numId w:val="0"/>
        </w:numPr>
        <w:ind w:left="1440"/>
        <w:rPr>
          <w:b w:val="0"/>
          <w:bCs w:val="0"/>
        </w:rPr>
      </w:pPr>
    </w:p>
    <w:p w:rsidR="00A16F95" w:rsidP="00A16F95" w14:paraId="155A04B3" w14:textId="77777777">
      <w:pPr>
        <w:pStyle w:val="1-PolicySectionlevel"/>
        <w:numPr>
          <w:ilvl w:val="0"/>
          <w:numId w:val="0"/>
        </w:numPr>
        <w:ind w:left="1440"/>
        <w:rPr>
          <w:b w:val="0"/>
          <w:bCs w:val="0"/>
        </w:rPr>
      </w:pPr>
    </w:p>
    <w:p w:rsidR="00A16F95" w:rsidP="00A16F95" w14:paraId="3972F389" w14:textId="77777777">
      <w:pPr>
        <w:pStyle w:val="1-PolicySectionlevel"/>
        <w:numPr>
          <w:ilvl w:val="0"/>
          <w:numId w:val="0"/>
        </w:numPr>
        <w:ind w:left="1440"/>
        <w:rPr>
          <w:b w:val="0"/>
          <w:bCs w:val="0"/>
        </w:rPr>
      </w:pPr>
    </w:p>
    <w:p w:rsidR="00A16F95" w:rsidP="00A16F95" w14:paraId="09F5A491" w14:textId="77777777">
      <w:pPr>
        <w:pStyle w:val="1-PolicySectionlevel"/>
        <w:numPr>
          <w:ilvl w:val="0"/>
          <w:numId w:val="0"/>
        </w:numPr>
        <w:ind w:left="1440"/>
        <w:rPr>
          <w:b w:val="0"/>
          <w:bCs w:val="0"/>
        </w:rPr>
      </w:pPr>
    </w:p>
    <w:p w:rsidR="00A16F95" w:rsidP="00A16F95" w14:paraId="2FB70154" w14:textId="77777777">
      <w:pPr>
        <w:pStyle w:val="1-PolicySectionlevel"/>
        <w:numPr>
          <w:ilvl w:val="0"/>
          <w:numId w:val="16"/>
        </w:numPr>
      </w:pPr>
      <w:r>
        <w:t xml:space="preserve">Industry Clinical Trials </w:t>
      </w:r>
    </w:p>
    <w:p w:rsidR="00A16F95" w:rsidP="00A16F95" w14:paraId="1ABAC544" w14:textId="77777777">
      <w:pPr>
        <w:pStyle w:val="BodyText"/>
        <w:spacing w:before="120"/>
        <w:jc w:val="both"/>
      </w:pPr>
      <w:r>
        <w:t xml:space="preserve">As the life cycle of industry clinical trials tend to be lengthy, invoices may be collectible that have been outstanding for greater than one year. Therefore, regarding industry clinical trials, all accounts receivable balances greater than </w:t>
      </w:r>
      <w:r>
        <w:rPr>
          <w:b/>
          <w:bCs/>
          <w:u w:val="single"/>
        </w:rPr>
        <w:t>two years old</w:t>
      </w:r>
      <w:r>
        <w:t xml:space="preserve">, where all collections efforts have been exhausted and that have had no associated current activity (e.g., a payment plan or a written promise to pay), will be written off. </w:t>
      </w:r>
    </w:p>
    <w:p w:rsidR="009315D0" w:rsidP="009315D0" w14:paraId="2B40D743" w14:textId="77777777">
      <w:pPr>
        <w:pStyle w:val="policysectiontext0"/>
        <w:spacing w:before="120" w:beforeAutospacing="0" w:after="120" w:afterAutospacing="0"/>
        <w:rPr>
          <w:rFonts w:ascii="Arial" w:hAnsi="Arial" w:cs="Arial"/>
          <w:sz w:val="20"/>
          <w:szCs w:val="20"/>
        </w:rPr>
      </w:pPr>
    </w:p>
    <w:p w:rsidR="00EB4DAD" w:rsidRPr="00EC53A3" w:rsidP="00003662" w14:paraId="718F010D" w14:textId="77777777">
      <w:pPr>
        <w:pStyle w:val="SectionHeading"/>
        <w:rPr>
          <w:color w:val="17365D" w:themeColor="text2" w:themeShade="BF"/>
          <w:sz w:val="20"/>
        </w:rPr>
      </w:pPr>
      <w:r w:rsidRPr="00EC53A3">
        <w:rPr>
          <w:color w:val="17365D" w:themeColor="text2" w:themeShade="BF"/>
        </w:rPr>
        <w:t>Special Situations &amp; Exceptions</w:t>
      </w:r>
    </w:p>
    <w:p w:rsidR="00A16F95" w:rsidRPr="00A16F95" w:rsidP="00A16F95" w14:paraId="3400E9F8" w14:textId="51E67A61">
      <w:pPr>
        <w:rPr>
          <w:rFonts w:cs="Arial"/>
          <w:color w:val="000000"/>
          <w:shd w:val="clear" w:color="auto" w:fill="FFFFFF"/>
        </w:rPr>
      </w:pPr>
      <w:r w:rsidRPr="00A16F95">
        <w:rPr>
          <w:rFonts w:cs="Arial"/>
          <w:color w:val="000000"/>
          <w:shd w:val="clear" w:color="auto" w:fill="FFFFFF"/>
        </w:rPr>
        <w:t>Patient accounts receivable balances recorded through the Epic system are outside of the scope of this policy. Bad debt and other related reserves are calculated</w:t>
      </w:r>
      <w:r w:rsidR="005875B4">
        <w:rPr>
          <w:rFonts w:cs="Arial"/>
          <w:color w:val="000000"/>
          <w:shd w:val="clear" w:color="auto" w:fill="FFFFFF"/>
        </w:rPr>
        <w:t xml:space="preserve"> monthly</w:t>
      </w:r>
      <w:r w:rsidRPr="00A16F95">
        <w:rPr>
          <w:rFonts w:cs="Arial"/>
          <w:color w:val="000000"/>
          <w:shd w:val="clear" w:color="auto" w:fill="FFFFFF"/>
        </w:rPr>
        <w:t xml:space="preserve"> based on a payor-specific model</w:t>
      </w:r>
      <w:r w:rsidRPr="00A16F95">
        <w:rPr>
          <w:rFonts w:cs="Arial"/>
          <w:color w:val="000000"/>
          <w:shd w:val="clear" w:color="auto" w:fill="FFFFFF"/>
        </w:rPr>
        <w:t>. In special circumstances beyond the items noted in other sections, where it is believed that the balance greater than one year old is still collectible, please follow the instructions below.</w:t>
      </w:r>
    </w:p>
    <w:p w:rsidR="00A16F95" w:rsidRPr="00A16F95" w:rsidP="00A16F95" w14:paraId="221C8C16" w14:textId="77777777">
      <w:pPr>
        <w:rPr>
          <w:rFonts w:cs="Arial"/>
          <w:color w:val="000000"/>
          <w:shd w:val="clear" w:color="auto" w:fill="FFFFFF"/>
        </w:rPr>
      </w:pPr>
      <w:r w:rsidRPr="00A16F95">
        <w:rPr>
          <w:rFonts w:cs="Arial"/>
          <w:color w:val="000000"/>
          <w:shd w:val="clear" w:color="auto" w:fill="FFFFFF"/>
        </w:rPr>
        <w:t xml:space="preserve">Exceptions to this procedure must be documented using the </w:t>
      </w:r>
      <w:hyperlink r:id="rId10" w:history="1">
        <w:r w:rsidRPr="00A16F95">
          <w:rPr>
            <w:rStyle w:val="Hyperlink"/>
            <w:rFonts w:cs="Arial"/>
            <w:shd w:val="clear" w:color="auto" w:fill="FFFFFF"/>
          </w:rPr>
          <w:t>YSM Policy/ Procedure/ Guideline Exception Request - Form</w:t>
        </w:r>
      </w:hyperlink>
      <w:r w:rsidRPr="00A16F95">
        <w:rPr>
          <w:rFonts w:cs="Arial"/>
          <w:color w:val="000000"/>
          <w:shd w:val="clear" w:color="auto" w:fill="FFFFFF"/>
        </w:rPr>
        <w:t xml:space="preserve"> and presented to </w:t>
      </w:r>
      <w:hyperlink r:id="rId11" w:history="1">
        <w:r w:rsidRPr="00A16F95">
          <w:rPr>
            <w:rStyle w:val="Hyperlink"/>
            <w:rFonts w:cs="Arial"/>
            <w:shd w:val="clear" w:color="auto" w:fill="FFFFFF"/>
          </w:rPr>
          <w:t>ysmcontroller@yale.edu</w:t>
        </w:r>
      </w:hyperlink>
      <w:r w:rsidRPr="00A16F95">
        <w:rPr>
          <w:rFonts w:cs="Arial"/>
          <w:color w:val="000000"/>
          <w:shd w:val="clear" w:color="auto" w:fill="FFFFFF"/>
        </w:rPr>
        <w:t xml:space="preserve">.  </w:t>
      </w:r>
    </w:p>
    <w:p w:rsidR="00D64C00" w:rsidP="00D64C00" w14:paraId="16283627" w14:textId="3C36FC49"/>
    <w:p w:rsidR="009315D0" w:rsidRPr="00EC53A3" w:rsidP="00003662" w14:paraId="1FB23556"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A16F95" w:rsidRPr="00A16F95" w:rsidP="00A16F95" w14:paraId="2D1022E1" w14:textId="77777777">
      <w:pPr>
        <w:rPr>
          <w:rStyle w:val="Strong"/>
          <w:rFonts w:cs="Arial"/>
        </w:rPr>
      </w:pPr>
      <w:r w:rsidRPr="00A16F95">
        <w:rPr>
          <w:rStyle w:val="Strong"/>
          <w:rFonts w:cs="Arial"/>
        </w:rPr>
        <w:t>YSM Controller’s Office</w:t>
      </w:r>
    </w:p>
    <w:p w:rsidR="00A16F95" w:rsidRPr="00A16F95" w:rsidP="00A16F95" w14:paraId="05A4F45F" w14:textId="617F1ED0">
      <w:pPr>
        <w:pStyle w:val="ListParagraph"/>
        <w:numPr>
          <w:ilvl w:val="0"/>
          <w:numId w:val="17"/>
        </w:numPr>
        <w:rPr>
          <w:rStyle w:val="Strong"/>
          <w:rFonts w:cs="Arial"/>
          <w:b w:val="0"/>
          <w:bCs w:val="0"/>
        </w:rPr>
      </w:pPr>
      <w:r w:rsidRPr="00A16F95">
        <w:rPr>
          <w:rStyle w:val="Strong"/>
          <w:rFonts w:cs="Arial"/>
          <w:b w:val="0"/>
          <w:bCs w:val="0"/>
        </w:rPr>
        <w:t>Responsible for maintaining and interpreting this guidance, reviewing and approving exceptions to this procedure, and calculating YSM’s allowance for doubtful accounts for non-sponsored accounts receivable.</w:t>
      </w:r>
    </w:p>
    <w:p w:rsidR="00A16F95" w:rsidP="00A16F95" w14:paraId="00B8971C" w14:textId="77777777">
      <w:pPr>
        <w:rPr>
          <w:rStyle w:val="Strong"/>
          <w:rFonts w:cs="Arial"/>
        </w:rPr>
      </w:pPr>
      <w:r w:rsidRPr="00A16F95">
        <w:rPr>
          <w:rStyle w:val="Strong"/>
          <w:rFonts w:cs="Arial"/>
        </w:rPr>
        <w:t>Centralized Billing Team (a subset of the YSM Controller’s Office)</w:t>
      </w:r>
    </w:p>
    <w:p w:rsidR="00A16F95" w:rsidRPr="00A16F95" w:rsidP="00A16F95" w14:paraId="34F23008" w14:textId="1AC3ADF3">
      <w:pPr>
        <w:pStyle w:val="ListParagraph"/>
        <w:numPr>
          <w:ilvl w:val="0"/>
          <w:numId w:val="17"/>
        </w:numPr>
        <w:rPr>
          <w:rStyle w:val="Strong"/>
          <w:rFonts w:cs="Arial"/>
          <w:b w:val="0"/>
          <w:bCs w:val="0"/>
        </w:rPr>
      </w:pPr>
      <w:r w:rsidRPr="00A16F95">
        <w:rPr>
          <w:rStyle w:val="Strong"/>
          <w:rFonts w:cs="Arial"/>
          <w:b w:val="0"/>
          <w:bCs w:val="0"/>
        </w:rPr>
        <w:t xml:space="preserve">Responsible for collaborating with YSM departments to determine whether non-sponsored accounts receivable balances should be written off and initiating write-offs within Workday. </w:t>
      </w:r>
    </w:p>
    <w:p w:rsidR="00A16F95" w:rsidP="00A16F95" w14:paraId="5F1538FE" w14:textId="77777777">
      <w:pPr>
        <w:rPr>
          <w:rStyle w:val="Strong"/>
          <w:rFonts w:cs="Arial"/>
        </w:rPr>
      </w:pPr>
      <w:r w:rsidRPr="00A16F95">
        <w:rPr>
          <w:rStyle w:val="Strong"/>
          <w:rFonts w:cs="Arial"/>
        </w:rPr>
        <w:t>University Treasury Services</w:t>
      </w:r>
    </w:p>
    <w:p w:rsidR="007D358A" w:rsidRPr="00A16F95" w:rsidP="00003662" w14:paraId="6B74E2F1" w14:textId="2D80AE8C">
      <w:pPr>
        <w:pStyle w:val="ListParagraph"/>
        <w:numPr>
          <w:ilvl w:val="0"/>
          <w:numId w:val="17"/>
        </w:numPr>
        <w:rPr>
          <w:rFonts w:cs="Arial"/>
        </w:rPr>
      </w:pPr>
      <w:r w:rsidRPr="00A16F95">
        <w:rPr>
          <w:rStyle w:val="Strong"/>
          <w:rFonts w:cs="Arial"/>
          <w:b w:val="0"/>
          <w:bCs w:val="0"/>
        </w:rPr>
        <w:t>Responsible for receiving payments on invoices that have been written off to bad debt and canceling the related write-off in Workday.</w:t>
      </w:r>
    </w:p>
    <w:p w:rsidR="0007688E" w:rsidRPr="00EC53A3" w:rsidP="00003662" w14:paraId="7E3335A7" w14:textId="77777777">
      <w:pPr>
        <w:pStyle w:val="SectionHeading"/>
        <w:rPr>
          <w:color w:val="17365D" w:themeColor="text2" w:themeShade="BF"/>
          <w:sz w:val="20"/>
        </w:rPr>
      </w:pPr>
      <w:r w:rsidRPr="00EC53A3">
        <w:rPr>
          <w:color w:val="17365D" w:themeColor="text2" w:themeShade="BF"/>
        </w:rPr>
        <w:t xml:space="preserve">Contact Information </w:t>
      </w:r>
    </w:p>
    <w:p w:rsidR="00A16F95" w:rsidRPr="00320175" w:rsidP="00A16F95" w14:paraId="49A45BDC" w14:textId="769792CB">
      <w:pPr>
        <w:pStyle w:val="BodyText"/>
        <w:numPr>
          <w:ilvl w:val="0"/>
          <w:numId w:val="15"/>
        </w:numPr>
      </w:pPr>
      <w:bookmarkStart w:id="5" w:name="_Hlk497987165"/>
      <w:r w:rsidRPr="00A16F95">
        <w:rPr>
          <w:i/>
          <w:iCs/>
        </w:rPr>
        <w:t>YSM Controller’s Office:</w:t>
      </w:r>
      <w:r w:rsidRPr="00A16F95">
        <w:t xml:space="preserve"> </w:t>
      </w:r>
      <w:hyperlink r:id="rId12" w:history="1">
        <w:r w:rsidRPr="00320175">
          <w:rPr>
            <w:rStyle w:val="Hyperlink"/>
            <w:u w:val="none"/>
          </w:rPr>
          <w:t>ysmcontroller@yale.edu</w:t>
        </w:r>
      </w:hyperlink>
      <w:r w:rsidRPr="00320175">
        <w:t xml:space="preserve"> </w:t>
      </w:r>
    </w:p>
    <w:p w:rsidR="00A16F95" w:rsidRPr="00320175" w:rsidP="00A16F95" w14:paraId="7FFF711C" w14:textId="0AC8C0AE">
      <w:pPr>
        <w:pStyle w:val="BodyText"/>
        <w:numPr>
          <w:ilvl w:val="0"/>
          <w:numId w:val="15"/>
        </w:numPr>
      </w:pPr>
      <w:r w:rsidRPr="00320175">
        <w:rPr>
          <w:i/>
          <w:iCs/>
        </w:rPr>
        <w:t>Centralized Billing Team:</w:t>
      </w:r>
      <w:r w:rsidRPr="00320175">
        <w:t xml:space="preserve"> </w:t>
      </w:r>
      <w:hyperlink r:id="rId13" w:history="1">
        <w:r w:rsidRPr="00320175">
          <w:rPr>
            <w:rStyle w:val="Hyperlink"/>
            <w:u w:val="none"/>
          </w:rPr>
          <w:t>ysminvoicing@yale.edu</w:t>
        </w:r>
      </w:hyperlink>
      <w:r w:rsidRPr="00320175">
        <w:t xml:space="preserve"> </w:t>
      </w:r>
    </w:p>
    <w:p w:rsidR="00A16F95" w:rsidRPr="00A16F95" w:rsidP="00A16F95" w14:paraId="293BE5E0" w14:textId="77777777">
      <w:pPr>
        <w:pStyle w:val="BodyText"/>
        <w:ind w:left="720"/>
      </w:pPr>
    </w:p>
    <w:p w:rsidR="009315D0" w:rsidRPr="00EC53A3" w:rsidP="00003662" w14:paraId="6C2EA606" w14:textId="77777777">
      <w:pPr>
        <w:pStyle w:val="SectionHeading"/>
        <w:rPr>
          <w:color w:val="17365D" w:themeColor="text2" w:themeShade="BF"/>
        </w:rPr>
      </w:pPr>
      <w:r w:rsidRPr="00EC53A3">
        <w:rPr>
          <w:color w:val="17365D" w:themeColor="text2" w:themeShade="BF"/>
        </w:rPr>
        <w:t>Related Information</w:t>
      </w:r>
      <w:bookmarkEnd w:id="5"/>
    </w:p>
    <w:p w:rsidR="00A16F95" w:rsidRPr="00A16F95" w:rsidP="00A16F95" w14:paraId="4EE9C27C" w14:textId="52629848">
      <w:pPr>
        <w:spacing w:before="120" w:after="120"/>
        <w:rPr>
          <w:b/>
          <w:bCs/>
        </w:rPr>
      </w:pPr>
      <w:r w:rsidRPr="00A16F95">
        <w:rPr>
          <w:b/>
          <w:bCs/>
        </w:rPr>
        <w:t>Workday Reports</w:t>
      </w:r>
    </w:p>
    <w:p w:rsidR="00A16F95" w:rsidRPr="00A16F95" w:rsidP="00A16F95" w14:paraId="78D6E091" w14:textId="77777777">
      <w:pPr>
        <w:pStyle w:val="ListParagraph"/>
        <w:numPr>
          <w:ilvl w:val="0"/>
          <w:numId w:val="17"/>
        </w:numPr>
        <w:spacing w:before="120" w:after="120"/>
        <w:rPr>
          <w:rFonts w:cs="Arial"/>
          <w:color w:val="333333"/>
          <w:shd w:val="clear" w:color="auto" w:fill="FFFFFF"/>
        </w:rPr>
      </w:pPr>
      <w:hyperlink r:id="rId14" w:history="1">
        <w:r w:rsidRPr="00A16F95">
          <w:rPr>
            <w:rStyle w:val="Hyperlink"/>
            <w:rFonts w:cs="Arial"/>
            <w:u w:val="none"/>
            <w:shd w:val="clear" w:color="auto" w:fill="FFFFFF"/>
          </w:rPr>
          <w:t>Non-Sponsored Receivables Aging Detail by Cost Center – Yale</w:t>
        </w:r>
      </w:hyperlink>
    </w:p>
    <w:p w:rsidR="00A16F95" w:rsidRPr="00A16F95" w:rsidP="00A16F95" w14:paraId="66720C7D" w14:textId="77777777">
      <w:pPr>
        <w:pStyle w:val="ListParagraph"/>
        <w:numPr>
          <w:ilvl w:val="0"/>
          <w:numId w:val="17"/>
        </w:numPr>
        <w:spacing w:before="120" w:after="120"/>
        <w:rPr>
          <w:rFonts w:cs="Arial"/>
        </w:rPr>
      </w:pPr>
      <w:hyperlink r:id="rId15" w:history="1">
        <w:r w:rsidRPr="00A16F95">
          <w:rPr>
            <w:rStyle w:val="Hyperlink"/>
            <w:u w:val="none"/>
          </w:rPr>
          <w:t>Assets and Liabilities – Yale</w:t>
        </w:r>
      </w:hyperlink>
    </w:p>
    <w:p w:rsidR="00A16F95" w:rsidRPr="00A16F95" w:rsidP="00A16F95" w14:paraId="40561451" w14:textId="77777777">
      <w:pPr>
        <w:pStyle w:val="ListParagraph"/>
        <w:numPr>
          <w:ilvl w:val="0"/>
          <w:numId w:val="17"/>
        </w:numPr>
        <w:spacing w:before="120" w:after="120"/>
        <w:rPr>
          <w:rFonts w:cs="Arial"/>
          <w:color w:val="0000FF"/>
        </w:rPr>
      </w:pPr>
      <w:hyperlink r:id="rId16" w:history="1">
        <w:r w:rsidRPr="00A16F95">
          <w:rPr>
            <w:rStyle w:val="Hyperlink"/>
            <w:rFonts w:cs="Arial"/>
            <w:u w:val="none"/>
            <w:shd w:val="clear" w:color="auto" w:fill="FFFFFF"/>
          </w:rPr>
          <w:t>Financial Review Checklist</w:t>
        </w:r>
      </w:hyperlink>
    </w:p>
    <w:p w:rsidR="00A16F95" w:rsidRPr="00A16F95" w:rsidP="00A16F95" w14:paraId="41563966" w14:textId="77777777">
      <w:pPr>
        <w:pStyle w:val="ListParagraph"/>
        <w:numPr>
          <w:ilvl w:val="0"/>
          <w:numId w:val="17"/>
        </w:numPr>
        <w:spacing w:before="120" w:after="120"/>
        <w:rPr>
          <w:rFonts w:cs="Arial"/>
          <w:color w:val="0000FF"/>
        </w:rPr>
      </w:pPr>
      <w:hyperlink r:id="rId17" w:history="1">
        <w:r w:rsidRPr="00A16F95">
          <w:rPr>
            <w:rStyle w:val="Hyperlink"/>
            <w:rFonts w:cs="Arial"/>
            <w:u w:val="none"/>
            <w:shd w:val="clear" w:color="auto" w:fill="FFFFFF"/>
          </w:rPr>
          <w:t>Non-Sponsored Payment Detail – Yale</w:t>
        </w:r>
      </w:hyperlink>
      <w:r w:rsidRPr="00A16F95" w:rsidR="00320175">
        <w:rPr>
          <w:rStyle w:val="Hyperlink"/>
          <w:rFonts w:cs="Arial"/>
          <w:u w:val="none"/>
          <w:shd w:val="clear" w:color="auto" w:fill="FFFFFF"/>
        </w:rPr>
        <w:t xml:space="preserve"> </w:t>
      </w:r>
    </w:p>
    <w:p w:rsidR="0006084D" w:rsidRPr="00EC53A3" w:rsidP="00F359A3" w14:paraId="605FF78A" w14:textId="77777777">
      <w:pPr>
        <w:pStyle w:val="SectionHeading"/>
        <w:rPr>
          <w:color w:val="17365D" w:themeColor="text2" w:themeShade="BF"/>
        </w:rPr>
      </w:pPr>
      <w:r w:rsidRPr="00EC53A3">
        <w:rPr>
          <w:color w:val="17365D" w:themeColor="text2" w:themeShade="BF"/>
        </w:rPr>
        <w:t>References</w:t>
      </w:r>
    </w:p>
    <w:p w:rsidR="00A16F95" w:rsidRPr="00320175" w:rsidP="00A16F95" w14:paraId="31B9B59F" w14:textId="77777777">
      <w:pPr>
        <w:pStyle w:val="BodyText"/>
      </w:pPr>
      <w:hyperlink r:id="rId18" w:history="1">
        <w:r w:rsidRPr="00320175">
          <w:rPr>
            <w:rStyle w:val="Hyperlink"/>
            <w:u w:val="none"/>
          </w:rPr>
          <w:t>Accounting Manual: Non-Sponsored AR accounting and Guidance</w:t>
        </w:r>
      </w:hyperlink>
    </w:p>
    <w:p w:rsidR="00A16F95" w:rsidRPr="00A16F95" w:rsidP="00A16F95" w14:paraId="39B791D6" w14:textId="77777777">
      <w:pPr>
        <w:pStyle w:val="BodyText"/>
      </w:pPr>
    </w:p>
    <w:p w:rsidR="0006084D" w:rsidRPr="00EC53A3" w:rsidP="0006084D" w14:paraId="28E5E45D" w14:textId="77777777">
      <w:pPr>
        <w:pStyle w:val="SectionHeading"/>
        <w:rPr>
          <w:color w:val="17365D" w:themeColor="text2" w:themeShade="BF"/>
        </w:rPr>
      </w:pPr>
      <w:r w:rsidRPr="00EC53A3">
        <w:rPr>
          <w:color w:val="17365D" w:themeColor="text2" w:themeShade="BF"/>
        </w:rPr>
        <w:t>Version History</w:t>
      </w:r>
    </w:p>
    <w:p w:rsidR="005875B4" w:rsidRPr="005875B4" w:rsidP="007D358A" w14:paraId="02324121" w14:textId="3A031F0F">
      <w:pPr>
        <w:pStyle w:val="BodyText"/>
        <w:numPr>
          <w:ilvl w:val="0"/>
          <w:numId w:val="15"/>
        </w:numPr>
        <w:rPr>
          <w:bCs/>
        </w:rPr>
      </w:pPr>
      <w:r w:rsidRPr="005875B4">
        <w:rPr>
          <w:b/>
        </w:rPr>
        <w:t>12/16/2025</w:t>
      </w:r>
      <w:r>
        <w:rPr>
          <w:bCs/>
        </w:rPr>
        <w:t xml:space="preserve">: Added sentence </w:t>
      </w:r>
      <w:r w:rsidR="00E45103">
        <w:rPr>
          <w:bCs/>
        </w:rPr>
        <w:t xml:space="preserve">in section 1 at the end of the first paragraph. </w:t>
      </w:r>
      <w:r>
        <w:rPr>
          <w:bCs/>
        </w:rPr>
        <w:t xml:space="preserve"> </w:t>
      </w:r>
    </w:p>
    <w:p w:rsidR="007D358A" w:rsidP="007D358A" w14:paraId="167695E9" w14:textId="11F1BED2">
      <w:pPr>
        <w:pStyle w:val="BodyText"/>
        <w:numPr>
          <w:ilvl w:val="0"/>
          <w:numId w:val="15"/>
        </w:numPr>
        <w:rPr>
          <w:bCs/>
        </w:rPr>
      </w:pPr>
      <w:r>
        <w:rPr>
          <w:b/>
        </w:rPr>
        <w:t xml:space="preserve">03/27/2024: </w:t>
      </w:r>
      <w:r w:rsidRPr="00A16F95">
        <w:rPr>
          <w:bCs/>
        </w:rPr>
        <w:t>Added Roles &amp; Responsibilities; added “None” to Definitions section; made small grammar and formatting changes (e.g., spelling out Yale University, changing the word “policy” to “procedure” in the Scope section); modified last paragraph of Section 1. to include Treasury responsibilities; updated link and title to document in References section; modified some of the words in the Keywords section</w:t>
      </w:r>
    </w:p>
    <w:p w:rsidR="00A16F95" w:rsidRPr="0050277A" w:rsidP="00A16F95" w14:paraId="1D112748" w14:textId="77777777">
      <w:pPr>
        <w:pStyle w:val="BodyText"/>
        <w:rPr>
          <w:bCs/>
        </w:rPr>
      </w:pPr>
    </w:p>
    <w:p w:rsidR="0006084D" w:rsidP="0006084D" w14:paraId="5E61C21E" w14:textId="77777777">
      <w:pPr>
        <w:pStyle w:val="SectionHeading"/>
        <w:rPr>
          <w:color w:val="17365D" w:themeColor="text2" w:themeShade="BF"/>
        </w:rPr>
      </w:pPr>
      <w:r w:rsidRPr="00EC53A3">
        <w:rPr>
          <w:color w:val="17365D" w:themeColor="text2" w:themeShade="BF"/>
        </w:rPr>
        <w:t xml:space="preserve">Keywords </w:t>
      </w:r>
    </w:p>
    <w:p w:rsidR="00A16F95" w:rsidRPr="00A16F95" w:rsidP="00A16F95" w14:paraId="562C726C" w14:textId="77777777">
      <w:pPr>
        <w:rPr>
          <w:bCs/>
        </w:rPr>
      </w:pPr>
      <w:r w:rsidRPr="00A16F95">
        <w:rPr>
          <w:bCs/>
        </w:rPr>
        <w:t xml:space="preserve">Non-Sponsored, Accounts, Receivable, Write-Offs, Write Off, Balance Sheet, Reserves </w:t>
      </w:r>
    </w:p>
    <w:p w:rsidR="007D358A" w:rsidP="00B31E70" w14:paraId="09DFB752" w14:textId="77777777">
      <w:pPr>
        <w:spacing w:before="0"/>
        <w:rPr>
          <w:b/>
          <w:bCs/>
          <w:szCs w:val="24"/>
        </w:rPr>
      </w:pPr>
    </w:p>
    <w:p w:rsidR="00B31E70" w:rsidRPr="00527DB8" w:rsidP="00B31E70" w14:paraId="668876C4" w14:textId="3C685B3F">
      <w:pPr>
        <w:spacing w:before="0"/>
        <w:rPr>
          <w:sz w:val="18"/>
          <w:szCs w:val="18"/>
        </w:rPr>
      </w:pPr>
      <w:r w:rsidRPr="00825DBD">
        <w:rPr>
          <w:b/>
          <w:bCs/>
          <w:szCs w:val="24"/>
        </w:rPr>
        <w:t xml:space="preserve">Responsible Official: </w:t>
      </w:r>
      <w:r w:rsidRPr="00825DBD">
        <w:rPr>
          <w:b/>
          <w:bCs/>
          <w:szCs w:val="24"/>
        </w:rPr>
        <w:tab/>
      </w:r>
      <w:r>
        <w:rPr>
          <w:b/>
          <w:bCs/>
          <w:szCs w:val="24"/>
        </w:rPr>
        <w:tab/>
      </w:r>
      <w:r w:rsidRPr="00A16F95">
        <w:rPr>
          <w:szCs w:val="24"/>
        </w:rPr>
        <w:t>Deputy Dean Finance &amp; Administration</w:t>
      </w:r>
      <w:r w:rsidRPr="00A16F95">
        <w:rPr>
          <w:szCs w:val="24"/>
        </w:rPr>
        <w:tab/>
      </w:r>
    </w:p>
    <w:p w:rsidR="00B31E70" w:rsidRPr="00825DBD" w:rsidP="00B31E70" w14:paraId="1C411CF7" w14:textId="261CE59D">
      <w:pPr>
        <w:rPr>
          <w:b/>
          <w:bCs/>
          <w:szCs w:val="24"/>
        </w:rPr>
      </w:pPr>
      <w:r w:rsidRPr="00825DBD">
        <w:rPr>
          <w:b/>
          <w:bCs/>
          <w:szCs w:val="24"/>
        </w:rPr>
        <w:t>Document Administrator</w:t>
      </w:r>
      <w:r>
        <w:rPr>
          <w:b/>
          <w:bCs/>
          <w:szCs w:val="24"/>
        </w:rPr>
        <w:t xml:space="preserve">: </w:t>
      </w:r>
      <w:r w:rsidRPr="00825DBD">
        <w:rPr>
          <w:b/>
          <w:bCs/>
          <w:szCs w:val="24"/>
        </w:rPr>
        <w:tab/>
      </w:r>
      <w:r w:rsidRPr="00A16F95">
        <w:rPr>
          <w:szCs w:val="24"/>
        </w:rPr>
        <w:t>Kelsey Schieren</w:t>
      </w:r>
    </w:p>
    <w:p w:rsidR="00B31E70" w:rsidRPr="00A16F95" w:rsidP="00B31E70" w14:paraId="0900E874" w14:textId="71D7DDA5">
      <w:pPr>
        <w:rPr>
          <w:sz w:val="18"/>
          <w:szCs w:val="18"/>
        </w:rPr>
      </w:pPr>
      <w:r w:rsidRPr="00825DBD">
        <w:rPr>
          <w:b/>
          <w:bCs/>
          <w:szCs w:val="24"/>
        </w:rPr>
        <w:t xml:space="preserve">Date of Origin: </w:t>
      </w:r>
      <w:r w:rsidRPr="00825DBD">
        <w:rPr>
          <w:b/>
          <w:bCs/>
          <w:szCs w:val="24"/>
        </w:rPr>
        <w:tab/>
      </w:r>
      <w:r w:rsidRPr="00825DBD">
        <w:rPr>
          <w:b/>
          <w:bCs/>
          <w:szCs w:val="24"/>
        </w:rPr>
        <w:tab/>
      </w:r>
      <w:r>
        <w:rPr>
          <w:szCs w:val="24"/>
        </w:rPr>
        <w:t>03/23/2023</w:t>
      </w:r>
    </w:p>
    <w:p w:rsidR="007179BB" w:rsidRPr="00A16F95" w:rsidP="007D358A" w14:paraId="02E270E1" w14:textId="4D96FE73">
      <w:pPr>
        <w:rPr>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rPr>
          <w:szCs w:val="24"/>
        </w:rPr>
        <w:t>04/25/2024</w:t>
      </w:r>
    </w:p>
    <w:p w:rsidR="00964C57" w:rsidP="00A16F95" w14:paraId="1E931ACD" w14:textId="34AC5A32">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sectPr w:rsidSect="00641FF8">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22A6D" w14:paraId="7059DA2F" w14:textId="77777777">
      <w:pPr>
        <w:spacing w:before="0" w:after="0"/>
      </w:pPr>
      <w:r>
        <w:separator/>
      </w:r>
    </w:p>
  </w:endnote>
  <w:endnote w:type="continuationSeparator" w:id="1">
    <w:p w:rsidR="00822A6D" w14:paraId="18EAD34F"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DC5" w14:paraId="3F94087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4EBE6C2C" w14:textId="77777777">
            <w:pPr>
              <w:pBdr>
                <w:bottom w:val="single" w:sz="6" w:space="1" w:color="auto"/>
              </w:pBdr>
              <w:spacing w:before="0"/>
            </w:pPr>
          </w:p>
          <w:p w:rsidR="00ED0249" w:rsidP="000A6AF5" w14:paraId="7A48C400" w14:textId="77777777">
            <w:pPr>
              <w:spacing w:before="0"/>
            </w:pPr>
          </w:p>
          <w:p w:rsidR="00EF6513" w:rsidRPr="00823578" w:rsidP="00823578" w14:paraId="5494230B"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F08FA82"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p w:rsidR="00970B5C" w14:paraId="467F41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2A6D" w14:paraId="722ACFAA" w14:textId="77777777">
      <w:pPr>
        <w:spacing w:before="0" w:after="0"/>
      </w:pPr>
      <w:r>
        <w:separator/>
      </w:r>
    </w:p>
  </w:footnote>
  <w:footnote w:type="continuationSeparator" w:id="1">
    <w:p w:rsidR="00822A6D" w14:paraId="5C047CF6"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DC5" w14:paraId="0B2635A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DC5" w14:paraId="241341D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7A90F47A" w14:textId="77777777">
    <w:pPr>
      <w:pStyle w:val="DocTitle"/>
    </w:pPr>
    <w:r>
      <w:rPr>
        <w:noProof/>
      </w:rPr>
      <w:drawing>
        <wp:inline distT="0" distB="0" distL="0" distR="0">
          <wp:extent cx="4434840" cy="326136"/>
          <wp:effectExtent l="0" t="0" r="3810" b="0"/>
          <wp:docPr id="767310143"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10143"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25FFF5F7" w14:textId="0792B3A7">
    <w:pPr>
      <w:pStyle w:val="DocTitle"/>
    </w:pPr>
    <w:r w:rsidRPr="00A16F95">
      <w:fldChar w:fldCharType="begin"/>
    </w:r>
    <w:r w:rsidRPr="00A16F95">
      <w:instrText xml:space="preserve"> DOCVARIABLE </w:instrText>
    </w:r>
    <w:r w:rsidRPr="00A16F95">
      <w:instrText>Document_Title</w:instrText>
    </w:r>
    <w:r w:rsidRPr="00A16F95">
      <w:instrText xml:space="preserve"> </w:instrText>
    </w:r>
    <w:r w:rsidRPr="00A16F95">
      <w:instrText>\*</w:instrText>
    </w:r>
    <w:r w:rsidRPr="00A16F95">
      <w:instrText xml:space="preserve"> </w:instrText>
    </w:r>
    <w:r w:rsidRPr="00A16F95">
      <w:instrText>MERGEFORMAT</w:instrText>
    </w:r>
    <w:r w:rsidRPr="00A16F95">
      <w:instrText xml:space="preserve"> </w:instrText>
    </w:r>
    <w:r w:rsidRPr="00A16F95">
      <w:fldChar w:fldCharType="separate"/>
    </w:r>
    <w:r w:rsidRPr="00A16F95">
      <w:t>Non-Sponsored Accounts Receivable Write-Offs and Balance Sheet Reserves - Procedure</w:t>
    </w:r>
    <w:r w:rsidRPr="00A16F95">
      <w:fldChar w:fldCharType="end"/>
    </w:r>
  </w:p>
  <w:p w:rsidR="00B25E5B" w:rsidRPr="00527DB8" w:rsidP="00C454DB" w14:paraId="678BD221" w14:textId="284D788D">
    <w:pPr>
      <w:spacing w:before="0" w:line="276" w:lineRule="auto"/>
      <w:rPr>
        <w:sz w:val="18"/>
        <w:szCs w:val="18"/>
      </w:rPr>
    </w:pPr>
    <w:r w:rsidRPr="00825DBD">
      <w:rPr>
        <w:b/>
        <w:bCs/>
        <w:szCs w:val="24"/>
      </w:rPr>
      <w:t>Responsible Office:</w:t>
    </w:r>
    <w:r w:rsidRPr="00825DBD">
      <w:rPr>
        <w:b/>
        <w:bCs/>
        <w:szCs w:val="24"/>
      </w:rPr>
      <w:tab/>
    </w:r>
    <w:r w:rsidRPr="00A16F95">
      <w:rPr>
        <w:szCs w:val="24"/>
      </w:rPr>
      <w:fldChar w:fldCharType="begin"/>
    </w:r>
    <w:r w:rsidRPr="00A16F95">
      <w:rPr>
        <w:szCs w:val="24"/>
      </w:rPr>
      <w:instrText xml:space="preserve"> DOCVARIABLE </w:instrText>
    </w:r>
    <w:r w:rsidRPr="00A16F95">
      <w:rPr>
        <w:szCs w:val="24"/>
      </w:rPr>
      <w:instrText>WR_Department</w:instrText>
    </w:r>
    <w:r w:rsidRPr="00A16F95">
      <w:rPr>
        <w:szCs w:val="24"/>
      </w:rPr>
      <w:instrText xml:space="preserve"> </w:instrText>
    </w:r>
    <w:r w:rsidRPr="00A16F95">
      <w:rPr>
        <w:szCs w:val="24"/>
      </w:rPr>
      <w:instrText>\*</w:instrText>
    </w:r>
    <w:r w:rsidRPr="00A16F95">
      <w:rPr>
        <w:szCs w:val="24"/>
      </w:rPr>
      <w:instrText xml:space="preserve"> </w:instrText>
    </w:r>
    <w:r w:rsidRPr="00A16F95">
      <w:rPr>
        <w:szCs w:val="24"/>
      </w:rPr>
      <w:instrText>MERGEFORMAT</w:instrText>
    </w:r>
    <w:r w:rsidRPr="00A16F95">
      <w:rPr>
        <w:szCs w:val="24"/>
      </w:rPr>
      <w:instrText xml:space="preserve"> </w:instrText>
    </w:r>
    <w:r w:rsidRPr="00A16F95">
      <w:rPr>
        <w:szCs w:val="24"/>
      </w:rPr>
      <w:fldChar w:fldCharType="separate"/>
    </w:r>
    <w:r w:rsidRPr="00A16F95">
      <w:rPr>
        <w:szCs w:val="24"/>
      </w:rPr>
      <w:t>MEDFIN Finance and Administration</w:t>
    </w:r>
    <w:r w:rsidRPr="00A16F95">
      <w:rPr>
        <w:szCs w:val="24"/>
      </w:rPr>
      <w:fldChar w:fldCharType="end"/>
    </w:r>
    <w:r w:rsidRPr="00825DBD">
      <w:rPr>
        <w:b/>
        <w:bCs/>
        <w:szCs w:val="24"/>
      </w:rPr>
      <w:tab/>
    </w:r>
    <w:r w:rsidRPr="009A518F" w:rsidR="004D0B0B">
      <w:t xml:space="preserve"> </w:t>
    </w:r>
  </w:p>
  <w:p w:rsidR="00B25E5B" w:rsidRPr="000B515B" w:rsidP="000B515B" w14:paraId="7A092E2D" w14:textId="0E900BB6">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Pr="00A16F95">
      <w:rPr>
        <w:szCs w:val="24"/>
      </w:rPr>
      <w:fldChar w:fldCharType="begin"/>
    </w:r>
    <w:r w:rsidRPr="00A16F95">
      <w:rPr>
        <w:szCs w:val="24"/>
      </w:rPr>
      <w:instrText xml:space="preserve"> DOCVARIABLE </w:instrText>
    </w:r>
    <w:r w:rsidRPr="00A16F95">
      <w:rPr>
        <w:szCs w:val="24"/>
      </w:rPr>
      <w:instrText>WR_Both</w:instrText>
    </w:r>
    <w:r w:rsidRPr="00A16F95">
      <w:rPr>
        <w:szCs w:val="24"/>
      </w:rPr>
      <w:instrText xml:space="preserve"> </w:instrText>
    </w:r>
    <w:r w:rsidRPr="00A16F95">
      <w:rPr>
        <w:szCs w:val="24"/>
      </w:rPr>
      <w:instrText>\*</w:instrText>
    </w:r>
    <w:r w:rsidRPr="00A16F95">
      <w:rPr>
        <w:szCs w:val="24"/>
      </w:rPr>
      <w:instrText xml:space="preserve"> </w:instrText>
    </w:r>
    <w:r w:rsidRPr="00A16F95">
      <w:rPr>
        <w:szCs w:val="24"/>
      </w:rPr>
      <w:instrText>MERGEFORMAT</w:instrText>
    </w:r>
    <w:r w:rsidRPr="00A16F95">
      <w:rPr>
        <w:szCs w:val="24"/>
      </w:rPr>
      <w:instrText xml:space="preserve"> </w:instrText>
    </w:r>
    <w:r w:rsidRPr="00A16F95">
      <w:rPr>
        <w:szCs w:val="24"/>
      </w:rPr>
      <w:fldChar w:fldCharType="separate"/>
    </w:r>
    <w:r w:rsidRPr="00A16F95">
      <w:rPr>
        <w:szCs w:val="24"/>
      </w:rPr>
      <w:t>Gina Kozak</w:t>
    </w:r>
    <w:r w:rsidRPr="00A16F95">
      <w:rPr>
        <w:szCs w:val="24"/>
      </w:rP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4D3D6DA8" w14:textId="251F3FA5">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fldChar w:fldCharType="begin"/>
    </w:r>
    <w:r>
      <w:instrText xml:space="preserve"> DOCVARIABLE </w:instrText>
    </w:r>
    <w:r>
      <w:instrText>Content_Effective_Date</w:instrText>
    </w:r>
    <w:r>
      <w:instrText xml:space="preserve"> </w:instrText>
    </w:r>
    <w:r>
      <w:instrText>\*</w:instrText>
    </w:r>
    <w:r>
      <w:instrText xml:space="preserve"> </w:instrText>
    </w:r>
    <w:r>
      <w:instrText>MERGEFORMAT</w:instrText>
    </w:r>
    <w:r>
      <w:instrText xml:space="preserve"> </w:instrText>
    </w:r>
    <w:r>
      <w:fldChar w:fldCharType="separate"/>
    </w:r>
    <w:r>
      <w:t>12/16/2025</w:t>
    </w:r>
    <w:r>
      <w:fldChar w:fldCharType="end"/>
    </w:r>
    <w:r w:rsidR="006161C7">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3781151E"/>
    <w:multiLevelType w:val="hybridMultilevel"/>
    <w:tmpl w:val="CFE630FE"/>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9"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0"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2"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1"/>
  </w:num>
  <w:num w:numId="3" w16cid:durableId="1479885800">
    <w:abstractNumId w:val="1"/>
  </w:num>
  <w:num w:numId="4" w16cid:durableId="1457530301">
    <w:abstractNumId w:val="8"/>
  </w:num>
  <w:num w:numId="5" w16cid:durableId="1026715395">
    <w:abstractNumId w:val="9"/>
  </w:num>
  <w:num w:numId="6" w16cid:durableId="1148597849">
    <w:abstractNumId w:val="7"/>
  </w:num>
  <w:num w:numId="7" w16cid:durableId="1623464680">
    <w:abstractNumId w:val="13"/>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10"/>
  </w:num>
  <w:num w:numId="15" w16cid:durableId="218789852">
    <w:abstractNumId w:val="5"/>
  </w:num>
  <w:num w:numId="16" w16cid:durableId="8836434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9486518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5869"/>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3A68"/>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0175"/>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1F1F"/>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5A17"/>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67D23"/>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875B4"/>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CE5"/>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C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53CD"/>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6F95"/>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8FC"/>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4E80"/>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5103"/>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Job Title" w:val="AP Job Title"/>
    <w:docVar w:name="Content Effective Date" w:val="04/25/2024"/>
    <w:docVar w:name="Content_Effective_Date" w:val="12/16/2025"/>
    <w:docVar w:name="CorpImageID_0" w:val="2_2%7c1%7c0%7c2%7c2%7c"/>
    <w:docVar w:name="Date Approved" w:val="Date Approved"/>
    <w:docVar w:name="Document Title" w:val="Non-Sponsored Accounts Receivable Write-Offs and Balance Sheet Reserves - Procedure"/>
    <w:docVar w:name="Document_Title" w:val="Non-Sponsored Accounts Receivable Write-Offs and Balance Sheet Reserves - Procedure"/>
    <w:docVar w:name="Last Periodic Review Date" w:val="01/31/2025"/>
    <w:docVar w:name="Link URL" w:val="https://yale.navexone.com/content/"/>
    <w:docVar w:name="Link_URL" w:val="https://yale.navexone.com/content/"/>
    <w:docVar w:name="Original Creation Date" w:val="Original Creation Date"/>
    <w:docVar w:name="PO Both" w:val="PO Both"/>
    <w:docVar w:name="WR Both" w:val="Gina Kozak"/>
    <w:docVar w:name="WR Department" w:val="MEDFIN Finance and Administration"/>
    <w:docVar w:name="WR_Both" w:val="Gina Kozak"/>
    <w:docVar w:name="WR_Department" w:val="MEDFIN Finance and Administration"/>
    <w:docVar w:name="__Grammarly_42___1" w:val="H4sIAAAAAAAEAKtWcslP9kxRslIyNDY2NDcyMjYytzSxNDQwMzRT0lEKTi0uzszPAykwNagFAPOkk2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0E8A27E"/>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firstLine="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uiPriority w:val="99"/>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 w:type="paragraph" w:styleId="NoSpacing">
    <w:name w:val="No Spacing"/>
    <w:uiPriority w:val="1"/>
    <w:rsid w:val="00A16F95"/>
    <w:pPr>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yperlink" Target="mailto:ysmcontroller@yale.edu" TargetMode="External" /><Relationship Id="rId12" Type="http://schemas.openxmlformats.org/officeDocument/2006/relationships/hyperlink" Target="mailto:ysmcontroller@yale.edu" TargetMode="External" /><Relationship Id="rId13" Type="http://schemas.openxmlformats.org/officeDocument/2006/relationships/hyperlink" Target="mailto:ysminvoicing@yale.edu" TargetMode="External" /><Relationship Id="rId14" Type="http://schemas.openxmlformats.org/officeDocument/2006/relationships/hyperlink" Target="https://www.myworkday.com/yale/d/task/1422$1907.htmld" TargetMode="External" /><Relationship Id="rId15" Type="http://schemas.openxmlformats.org/officeDocument/2006/relationships/hyperlink" Target="https://www.myworkday.com/yale/d/task/1422$2316.htmld?q=non-sponsored%20aging%20detail" TargetMode="External" /><Relationship Id="rId16" Type="http://schemas.openxmlformats.org/officeDocument/2006/relationships/hyperlink" Target="https://your.yale.edu/policies-procedures/forms/1101-fr01-financial-review-checklist" TargetMode="External" /><Relationship Id="rId17" Type="http://schemas.openxmlformats.org/officeDocument/2006/relationships/hyperlink" Target="https://www.myworkday.com/yale/d/search.htmld?q=Non-Sponsored%20Payment%20Detail%20-%20Yale" TargetMode="External" /><Relationship Id="rId18" Type="http://schemas.openxmlformats.org/officeDocument/2006/relationships/hyperlink" Target="https://your.yale.edu/policies-procedures/other/non-sponsored-ar-accounting-and-guidance?app=yalesites" TargetMode="External" /><Relationship Id="rId19" Type="http://schemas.openxmlformats.org/officeDocument/2006/relationships/header" Target="header1.xml" /><Relationship Id="rId2" Type="http://schemas.openxmlformats.org/officeDocument/2006/relationships/endnotes" Target="endnote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968</Words>
  <Characters>6374</Characters>
  <Application>Microsoft Office Word</Application>
  <DocSecurity>0</DocSecurity>
  <Lines>151</Lines>
  <Paragraphs>83</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Hettiarachchi, Parami</dc:creator>
  <cp:lastModifiedBy>Schieren, Kelsey</cp:lastModifiedBy>
  <cp:revision>5</cp:revision>
  <cp:lastPrinted>2015-08-17T19:29:00Z</cp:lastPrinted>
  <dcterms:created xsi:type="dcterms:W3CDTF">2025-02-01T03:27:00Z</dcterms:created>
  <dcterms:modified xsi:type="dcterms:W3CDTF">2025-12-16T20:45:00Z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