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214A7E0"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509CE606" w14:textId="77777777" w:rsidR="00863C88" w:rsidRPr="00863C88" w:rsidRDefault="00863C88" w:rsidP="00766FCD">
      <w:pPr>
        <w:pStyle w:val="BodyText"/>
        <w:rPr>
          <w:rFonts w:ascii="Garamond" w:hAnsi="Garamond"/>
          <w:sz w:val="28"/>
          <w:szCs w:val="28"/>
        </w:rPr>
      </w:pPr>
    </w:p>
    <w:p w14:paraId="6E5DDEF0" w14:textId="77777777" w:rsidR="00404156" w:rsidRPr="00404156" w:rsidRDefault="00630692" w:rsidP="00404156">
      <w:pPr>
        <w:pStyle w:val="BodyText"/>
        <w:rPr>
          <w:rFonts w:ascii="Garamond" w:hAnsi="Garamond"/>
          <w:sz w:val="36"/>
          <w:szCs w:val="36"/>
        </w:rPr>
      </w:pPr>
      <w:r w:rsidRPr="00404156">
        <w:rPr>
          <w:rFonts w:ascii="Garamond" w:hAnsi="Garamond"/>
          <w:bCs/>
          <w:sz w:val="36"/>
          <w:szCs w:val="36"/>
        </w:rPr>
        <w:t>The 2020</w:t>
      </w:r>
      <w:r w:rsidR="00404156" w:rsidRPr="00404156">
        <w:rPr>
          <w:rFonts w:ascii="Garamond" w:hAnsi="Garamond"/>
          <w:bCs/>
          <w:sz w:val="36"/>
          <w:szCs w:val="36"/>
        </w:rPr>
        <w:t xml:space="preserve"> &amp; 2021</w:t>
      </w:r>
      <w:r w:rsidRPr="00404156">
        <w:rPr>
          <w:rFonts w:ascii="Garamond" w:hAnsi="Garamond"/>
          <w:b w:val="0"/>
          <w:sz w:val="36"/>
          <w:szCs w:val="36"/>
        </w:rPr>
        <w:t xml:space="preserve"> </w:t>
      </w:r>
      <w:r w:rsidRPr="00404156">
        <w:rPr>
          <w:rFonts w:ascii="Garamond" w:hAnsi="Garamond"/>
          <w:sz w:val="36"/>
          <w:szCs w:val="36"/>
        </w:rPr>
        <w:t>Recipient</w:t>
      </w:r>
      <w:r w:rsidR="00404156" w:rsidRPr="00404156">
        <w:rPr>
          <w:rFonts w:ascii="Garamond" w:hAnsi="Garamond"/>
          <w:sz w:val="36"/>
          <w:szCs w:val="36"/>
        </w:rPr>
        <w:t>s</w:t>
      </w:r>
      <w:r w:rsidRPr="00404156">
        <w:rPr>
          <w:rFonts w:ascii="Garamond" w:hAnsi="Garamond"/>
          <w:sz w:val="36"/>
          <w:szCs w:val="36"/>
        </w:rPr>
        <w:t xml:space="preserve"> of the </w:t>
      </w:r>
    </w:p>
    <w:p w14:paraId="655A84E8" w14:textId="190EF872" w:rsidR="00404156" w:rsidRPr="00404156" w:rsidRDefault="00630692" w:rsidP="00404156">
      <w:pPr>
        <w:pStyle w:val="BodyText"/>
        <w:rPr>
          <w:rFonts w:ascii="Garamond" w:hAnsi="Garamond"/>
          <w:sz w:val="36"/>
          <w:szCs w:val="36"/>
        </w:rPr>
      </w:pPr>
      <w:r w:rsidRPr="00404156">
        <w:rPr>
          <w:rFonts w:ascii="Garamond" w:hAnsi="Garamond"/>
          <w:sz w:val="36"/>
          <w:szCs w:val="36"/>
        </w:rPr>
        <w:t xml:space="preserve">Iva </w:t>
      </w:r>
      <w:proofErr w:type="spellStart"/>
      <w:r w:rsidRPr="00404156">
        <w:rPr>
          <w:rFonts w:ascii="Garamond" w:hAnsi="Garamond"/>
          <w:sz w:val="36"/>
          <w:szCs w:val="36"/>
        </w:rPr>
        <w:t>Dostanic</w:t>
      </w:r>
      <w:proofErr w:type="spellEnd"/>
      <w:r w:rsidRPr="00404156">
        <w:rPr>
          <w:rFonts w:ascii="Garamond" w:hAnsi="Garamond"/>
          <w:sz w:val="36"/>
          <w:szCs w:val="36"/>
        </w:rPr>
        <w:t xml:space="preserve"> Physician-Scientist Trainee Awar</w:t>
      </w:r>
      <w:r w:rsidR="00404156" w:rsidRPr="00404156">
        <w:rPr>
          <w:rFonts w:ascii="Garamond" w:hAnsi="Garamond"/>
          <w:sz w:val="36"/>
          <w:szCs w:val="36"/>
        </w:rPr>
        <w:t>d</w:t>
      </w:r>
    </w:p>
    <w:p w14:paraId="1B7F2570" w14:textId="01493BD6" w:rsidR="00AF24F7" w:rsidRPr="00AF24F7" w:rsidRDefault="00AF24F7" w:rsidP="00AF24F7">
      <w:pPr>
        <w:pStyle w:val="BodyText"/>
        <w:jc w:val="left"/>
        <w:rPr>
          <w:rFonts w:ascii="Garamond" w:hAnsi="Garamond"/>
          <w:b w:val="0"/>
          <w:color w:val="002D93"/>
          <w:sz w:val="11"/>
          <w:szCs w:val="11"/>
        </w:rPr>
        <w:sectPr w:rsidR="00AF24F7" w:rsidRPr="00AF24F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6F9EC34C" w14:textId="30A58CAC" w:rsidR="006D51F2" w:rsidRPr="00404156" w:rsidRDefault="00863C88" w:rsidP="00224AF1">
      <w:pPr>
        <w:pStyle w:val="BodyText"/>
        <w:rPr>
          <w:rFonts w:ascii="Garamond" w:hAnsi="Garamond"/>
          <w:b w:val="0"/>
          <w:color w:val="002D93"/>
          <w:sz w:val="48"/>
          <w:szCs w:val="52"/>
        </w:rPr>
      </w:pPr>
      <w:proofErr w:type="spellStart"/>
      <w:r w:rsidRPr="00404156">
        <w:rPr>
          <w:rFonts w:ascii="Garamond" w:hAnsi="Garamond"/>
          <w:b w:val="0"/>
          <w:color w:val="002D93"/>
          <w:sz w:val="48"/>
          <w:szCs w:val="52"/>
        </w:rPr>
        <w:t>Rupak</w:t>
      </w:r>
      <w:proofErr w:type="spellEnd"/>
      <w:r w:rsidRPr="00404156">
        <w:rPr>
          <w:rFonts w:ascii="Garamond" w:hAnsi="Garamond"/>
          <w:b w:val="0"/>
          <w:color w:val="002D93"/>
          <w:sz w:val="48"/>
          <w:szCs w:val="52"/>
        </w:rPr>
        <w:t xml:space="preserve"> Datta, MD</w:t>
      </w:r>
    </w:p>
    <w:p w14:paraId="0FDCA8FC" w14:textId="77777777" w:rsidR="00404156" w:rsidRPr="00404156" w:rsidRDefault="00404156" w:rsidP="00404156">
      <w:pPr>
        <w:pStyle w:val="BodyText"/>
        <w:rPr>
          <w:rFonts w:ascii="Garamond" w:hAnsi="Garamond"/>
          <w:b w:val="0"/>
          <w:color w:val="000000" w:themeColor="text1"/>
          <w:sz w:val="15"/>
          <w:szCs w:val="15"/>
        </w:rPr>
      </w:pPr>
      <w:r w:rsidRPr="00404156">
        <w:rPr>
          <w:rFonts w:ascii="Garamond" w:hAnsi="Garamond"/>
          <w:b w:val="0"/>
          <w:color w:val="000000" w:themeColor="text1"/>
          <w:sz w:val="15"/>
          <w:szCs w:val="15"/>
        </w:rPr>
        <w:t>Instructor in Medicine, Section of Infectious Diseases</w:t>
      </w:r>
    </w:p>
    <w:p w14:paraId="69ED9304" w14:textId="16D50B1A" w:rsidR="00404156" w:rsidRPr="00404156" w:rsidRDefault="00404156" w:rsidP="00404156">
      <w:pPr>
        <w:jc w:val="center"/>
        <w:rPr>
          <w:rFonts w:ascii="Garamond" w:hAnsi="Garamond" w:cs="Times New Roman (Body CS)"/>
          <w:color w:val="00B050"/>
          <w:sz w:val="36"/>
          <w:szCs w:val="30"/>
        </w:rPr>
      </w:pPr>
      <w:r w:rsidRPr="00404156">
        <w:rPr>
          <w:rFonts w:ascii="Garamond" w:hAnsi="Garamond" w:cs="Times New Roman (Body CS)"/>
          <w:color w:val="00B050"/>
          <w:sz w:val="36"/>
          <w:szCs w:val="30"/>
        </w:rPr>
        <w:t>“Antibiotic Stewardship to Promote Palliative Care in Older Adults Near the End of Life”</w:t>
      </w:r>
    </w:p>
    <w:p w14:paraId="427E161E" w14:textId="77777777" w:rsidR="00404156" w:rsidRPr="00404156" w:rsidRDefault="00404156" w:rsidP="00404156">
      <w:pPr>
        <w:pStyle w:val="BodyText"/>
        <w:rPr>
          <w:rFonts w:ascii="Garamond" w:hAnsi="Garamond"/>
          <w:b w:val="0"/>
          <w:color w:val="002985"/>
          <w:sz w:val="44"/>
          <w:szCs w:val="48"/>
        </w:rPr>
      </w:pPr>
      <w:r w:rsidRPr="00404156">
        <w:rPr>
          <w:rFonts w:ascii="Garamond" w:hAnsi="Garamond"/>
          <w:b w:val="0"/>
          <w:color w:val="002985"/>
          <w:sz w:val="44"/>
          <w:szCs w:val="48"/>
        </w:rPr>
        <w:t xml:space="preserve">Anna </w:t>
      </w:r>
      <w:proofErr w:type="spellStart"/>
      <w:r w:rsidRPr="00404156">
        <w:rPr>
          <w:rFonts w:ascii="Garamond" w:hAnsi="Garamond"/>
          <w:b w:val="0"/>
          <w:color w:val="002985"/>
          <w:sz w:val="44"/>
          <w:szCs w:val="48"/>
        </w:rPr>
        <w:t>Perdigoto</w:t>
      </w:r>
      <w:proofErr w:type="spellEnd"/>
      <w:r w:rsidRPr="00404156">
        <w:rPr>
          <w:rFonts w:ascii="Garamond" w:hAnsi="Garamond"/>
          <w:b w:val="0"/>
          <w:color w:val="002985"/>
          <w:sz w:val="44"/>
          <w:szCs w:val="48"/>
        </w:rPr>
        <w:t>, MD, PhD</w:t>
      </w:r>
    </w:p>
    <w:p w14:paraId="7A236485" w14:textId="77777777" w:rsidR="00404156" w:rsidRPr="00404156" w:rsidRDefault="00404156" w:rsidP="00404156">
      <w:pPr>
        <w:pStyle w:val="BodyText"/>
        <w:rPr>
          <w:rFonts w:ascii="Garamond" w:hAnsi="Garamond"/>
          <w:b w:val="0"/>
          <w:sz w:val="15"/>
          <w:szCs w:val="16"/>
        </w:rPr>
      </w:pPr>
      <w:r w:rsidRPr="00404156">
        <w:rPr>
          <w:rFonts w:ascii="Garamond" w:hAnsi="Garamond"/>
          <w:b w:val="0"/>
          <w:sz w:val="15"/>
          <w:szCs w:val="16"/>
        </w:rPr>
        <w:t>Clinical Fellow in Medicine (Endocrinology)</w:t>
      </w:r>
    </w:p>
    <w:p w14:paraId="3AD44A89" w14:textId="77777777" w:rsidR="00404156" w:rsidRPr="00404156" w:rsidRDefault="00404156" w:rsidP="00404156">
      <w:pPr>
        <w:pStyle w:val="BodyText"/>
        <w:rPr>
          <w:rFonts w:ascii="Garamond" w:hAnsi="Garamond"/>
          <w:b w:val="0"/>
          <w:color w:val="00B050"/>
          <w:sz w:val="36"/>
          <w:szCs w:val="40"/>
        </w:rPr>
      </w:pPr>
      <w:r w:rsidRPr="00404156">
        <w:rPr>
          <w:rFonts w:ascii="Garamond" w:hAnsi="Garamond"/>
          <w:b w:val="0"/>
          <w:color w:val="00B050"/>
          <w:sz w:val="36"/>
          <w:szCs w:val="40"/>
        </w:rPr>
        <w:t>“Clinical and Preclinical Insights into the Mechanisms of Checkpoint Inhibitor-induced Diabetes”</w:t>
      </w:r>
    </w:p>
    <w:p w14:paraId="655635ED" w14:textId="77777777" w:rsidR="00404156" w:rsidRDefault="00404156" w:rsidP="00404156">
      <w:pPr>
        <w:rPr>
          <w:rFonts w:ascii="Garamond" w:hAnsi="Garamond"/>
          <w:b/>
        </w:rPr>
        <w:sectPr w:rsidR="00404156" w:rsidSect="00404156">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4CEC0DAA" w14:textId="77777777" w:rsidR="00404156" w:rsidRDefault="00404156" w:rsidP="00404156">
      <w:pPr>
        <w:rPr>
          <w:rFonts w:ascii="Garamond" w:hAnsi="Garamond"/>
          <w:b/>
        </w:rPr>
      </w:pPr>
    </w:p>
    <w:p w14:paraId="519146D6" w14:textId="76379214" w:rsidR="000E00A4" w:rsidRPr="00F46948" w:rsidRDefault="004A3256" w:rsidP="00F46948">
      <w:pPr>
        <w:jc w:val="center"/>
        <w:rPr>
          <w:rFonts w:ascii="Garamond" w:hAnsi="Garamond"/>
          <w:b/>
        </w:rPr>
      </w:pPr>
      <w:r>
        <w:rPr>
          <w:rFonts w:ascii="Garamond" w:hAnsi="Garamond"/>
          <w:b/>
        </w:rPr>
        <w:t>Date:</w:t>
      </w:r>
      <w:r w:rsidR="00672654">
        <w:rPr>
          <w:rFonts w:ascii="Garamond" w:hAnsi="Garamond"/>
          <w:b/>
        </w:rPr>
        <w:t xml:space="preserve"> June 24</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22061E8B"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w:t>
        </w:r>
        <w:r w:rsidR="005640BD" w:rsidRPr="006078FE">
          <w:rPr>
            <w:rStyle w:val="Hyperlink"/>
            <w:rFonts w:ascii="Garamond" w:hAnsi="Garamond"/>
            <w:b/>
          </w:rPr>
          <w:t>z</w:t>
        </w:r>
        <w:r w:rsidR="005640BD" w:rsidRPr="006078FE">
          <w:rPr>
            <w:rStyle w:val="Hyperlink"/>
            <w:rFonts w:ascii="Garamond" w:hAnsi="Garamond"/>
            <w:b/>
          </w:rPr>
          <w:t>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724B079D" w:rsidR="00DD2BF3" w:rsidRPr="00C61164" w:rsidRDefault="00404156" w:rsidP="001B6215">
      <w:pPr>
        <w:jc w:val="both"/>
        <w:rPr>
          <w:rFonts w:ascii="Garamond" w:hAnsi="Garamond"/>
          <w:b/>
          <w:sz w:val="20"/>
          <w:szCs w:val="20"/>
          <w:u w:val="single"/>
        </w:rPr>
      </w:pPr>
      <w:r>
        <w:rPr>
          <w:rFonts w:ascii="Garamond" w:hAnsi="Garamond"/>
          <w:b/>
          <w:sz w:val="20"/>
          <w:szCs w:val="20"/>
          <w:u w:val="single"/>
        </w:rPr>
        <w:t xml:space="preserve">Dr. Datta, </w:t>
      </w:r>
      <w:r w:rsidR="00DD2BF3" w:rsidRPr="00C61164">
        <w:rPr>
          <w:rFonts w:ascii="Garamond" w:hAnsi="Garamond"/>
          <w:b/>
          <w:sz w:val="20"/>
          <w:szCs w:val="20"/>
          <w:u w:val="single"/>
        </w:rPr>
        <w:t>NEEDS ASSESSMENT</w:t>
      </w:r>
      <w:r>
        <w:rPr>
          <w:rFonts w:ascii="Garamond" w:hAnsi="Garamond"/>
          <w:b/>
          <w:sz w:val="20"/>
          <w:szCs w:val="20"/>
          <w:u w:val="single"/>
        </w:rPr>
        <w:t xml:space="preserve">: </w:t>
      </w:r>
    </w:p>
    <w:p w14:paraId="2E0317D8" w14:textId="01A9B13C" w:rsidR="00DD2BF3" w:rsidRDefault="00725972" w:rsidP="001B6215">
      <w:pPr>
        <w:jc w:val="both"/>
        <w:rPr>
          <w:rFonts w:ascii="Garamond" w:hAnsi="Garamond"/>
          <w:sz w:val="20"/>
          <w:szCs w:val="20"/>
        </w:rPr>
      </w:pPr>
      <w:r w:rsidRPr="00725972">
        <w:rPr>
          <w:rFonts w:ascii="Garamond" w:hAnsi="Garamond"/>
          <w:sz w:val="20"/>
          <w:szCs w:val="20"/>
        </w:rPr>
        <w:t>The use of antibiotics during end-of-life care is highly variable. Clinicians need to know about factors associated with antibiotic use during end-of-life care, understand tradeoffs of antibiotic use during end-of-life care, and have knowledge of strategies to promote goal-concordant care of terminal infections.</w:t>
      </w:r>
    </w:p>
    <w:p w14:paraId="6600FB46" w14:textId="77777777" w:rsidR="00725972" w:rsidRPr="00C61164" w:rsidRDefault="00725972"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305BEC1C" w14:textId="317BC3B7" w:rsidR="00672654" w:rsidRPr="005F12E8" w:rsidRDefault="005F12E8" w:rsidP="005F12E8">
      <w:pPr>
        <w:rPr>
          <w:rFonts w:ascii="Garamond" w:hAnsi="Garamond"/>
          <w:bCs/>
          <w:sz w:val="20"/>
          <w:szCs w:val="20"/>
        </w:rPr>
      </w:pPr>
      <w:r w:rsidRPr="005F12E8">
        <w:rPr>
          <w:rFonts w:ascii="Garamond" w:hAnsi="Garamond"/>
          <w:bCs/>
          <w:sz w:val="20"/>
          <w:szCs w:val="20"/>
        </w:rPr>
        <w:t>1.</w:t>
      </w:r>
      <w:r>
        <w:rPr>
          <w:rFonts w:ascii="Garamond" w:hAnsi="Garamond"/>
          <w:bCs/>
          <w:sz w:val="20"/>
          <w:szCs w:val="20"/>
        </w:rPr>
        <w:t xml:space="preserve"> </w:t>
      </w:r>
      <w:r w:rsidR="00672654" w:rsidRPr="005F12E8">
        <w:rPr>
          <w:rFonts w:ascii="Garamond" w:hAnsi="Garamond"/>
          <w:bCs/>
          <w:sz w:val="20"/>
          <w:szCs w:val="20"/>
        </w:rPr>
        <w:t>To understand the tradeoffs of antibiotic use during end-of-life care</w:t>
      </w:r>
    </w:p>
    <w:p w14:paraId="517DC1DE" w14:textId="58B274E6" w:rsidR="00672654" w:rsidRPr="005F12E8" w:rsidRDefault="005F12E8" w:rsidP="005F12E8">
      <w:pPr>
        <w:rPr>
          <w:rFonts w:ascii="Garamond" w:hAnsi="Garamond"/>
          <w:bCs/>
          <w:sz w:val="20"/>
          <w:szCs w:val="20"/>
        </w:rPr>
      </w:pPr>
      <w:r>
        <w:rPr>
          <w:rFonts w:ascii="Garamond" w:hAnsi="Garamond"/>
          <w:bCs/>
          <w:sz w:val="20"/>
          <w:szCs w:val="20"/>
        </w:rPr>
        <w:t xml:space="preserve">2. </w:t>
      </w:r>
      <w:r w:rsidR="00672654" w:rsidRPr="005F12E8">
        <w:rPr>
          <w:rFonts w:ascii="Garamond" w:hAnsi="Garamond"/>
          <w:bCs/>
          <w:sz w:val="20"/>
          <w:szCs w:val="20"/>
        </w:rPr>
        <w:t>To identify factors associated with antibiotic use during end-of-life care</w:t>
      </w:r>
    </w:p>
    <w:p w14:paraId="352454B2" w14:textId="12A96749" w:rsidR="000E00A4" w:rsidRPr="005F12E8" w:rsidRDefault="005F12E8" w:rsidP="005F12E8">
      <w:pPr>
        <w:rPr>
          <w:rFonts w:ascii="Garamond" w:hAnsi="Garamond"/>
          <w:bCs/>
          <w:sz w:val="20"/>
          <w:szCs w:val="20"/>
        </w:rPr>
      </w:pPr>
      <w:r>
        <w:rPr>
          <w:rFonts w:ascii="Garamond" w:hAnsi="Garamond"/>
          <w:bCs/>
          <w:sz w:val="20"/>
          <w:szCs w:val="20"/>
        </w:rPr>
        <w:t xml:space="preserve">3. </w:t>
      </w:r>
      <w:r w:rsidR="00672654" w:rsidRPr="005F12E8">
        <w:rPr>
          <w:rFonts w:ascii="Garamond" w:hAnsi="Garamond"/>
          <w:bCs/>
          <w:sz w:val="20"/>
          <w:szCs w:val="20"/>
        </w:rPr>
        <w:t>To recognize strategies to promote goal-concordant care of terminal infections</w:t>
      </w:r>
    </w:p>
    <w:p w14:paraId="4D07E66D" w14:textId="77777777" w:rsidR="00F46948" w:rsidRPr="00C61164" w:rsidRDefault="00F46948" w:rsidP="00DD2BF3">
      <w:pPr>
        <w:rPr>
          <w:rFonts w:ascii="Garamond" w:hAnsi="Garamond"/>
          <w:b/>
          <w:sz w:val="20"/>
          <w:szCs w:val="20"/>
          <w:u w:val="single"/>
        </w:rPr>
      </w:pPr>
    </w:p>
    <w:p w14:paraId="33739096" w14:textId="3BABFC17" w:rsidR="00404156" w:rsidRPr="00C61164" w:rsidRDefault="00404156" w:rsidP="00404156">
      <w:pPr>
        <w:jc w:val="both"/>
        <w:rPr>
          <w:rFonts w:ascii="Garamond" w:hAnsi="Garamond"/>
          <w:b/>
          <w:sz w:val="20"/>
          <w:szCs w:val="20"/>
          <w:u w:val="single"/>
        </w:rPr>
      </w:pPr>
      <w:r>
        <w:rPr>
          <w:rFonts w:ascii="Garamond" w:hAnsi="Garamond"/>
          <w:b/>
          <w:sz w:val="20"/>
          <w:szCs w:val="20"/>
          <w:u w:val="single"/>
        </w:rPr>
        <w:t xml:space="preserve">Dr. </w:t>
      </w:r>
      <w:proofErr w:type="spellStart"/>
      <w:r>
        <w:rPr>
          <w:rFonts w:ascii="Garamond" w:hAnsi="Garamond"/>
          <w:b/>
          <w:sz w:val="20"/>
          <w:szCs w:val="20"/>
          <w:u w:val="single"/>
        </w:rPr>
        <w:t>Perdigoto</w:t>
      </w:r>
      <w:proofErr w:type="spellEnd"/>
      <w:r>
        <w:rPr>
          <w:rFonts w:ascii="Garamond" w:hAnsi="Garamond"/>
          <w:b/>
          <w:sz w:val="20"/>
          <w:szCs w:val="20"/>
          <w:u w:val="single"/>
        </w:rPr>
        <w:t xml:space="preserve">, </w:t>
      </w:r>
      <w:r w:rsidRPr="00C61164">
        <w:rPr>
          <w:rFonts w:ascii="Garamond" w:hAnsi="Garamond"/>
          <w:b/>
          <w:sz w:val="20"/>
          <w:szCs w:val="20"/>
          <w:u w:val="single"/>
        </w:rPr>
        <w:t>NEEDS ASSESSMENT:</w:t>
      </w:r>
    </w:p>
    <w:p w14:paraId="5D9B353B" w14:textId="223E9FDD" w:rsidR="00404156" w:rsidRPr="00C61164" w:rsidRDefault="00404156" w:rsidP="00404156">
      <w:pPr>
        <w:jc w:val="both"/>
        <w:rPr>
          <w:rFonts w:ascii="Garamond" w:hAnsi="Garamond"/>
          <w:sz w:val="20"/>
          <w:szCs w:val="20"/>
        </w:rPr>
      </w:pPr>
      <w:r w:rsidRPr="00D346E4">
        <w:rPr>
          <w:rFonts w:ascii="Garamond" w:hAnsi="Garamond"/>
          <w:sz w:val="20"/>
          <w:szCs w:val="20"/>
        </w:rPr>
        <w:t>Autoimmune diabetes mellitus is an infrequent but significant side effect of cancer treatment with immune checkpoint inhibitors. Clinicians need to know about the key features of checkpoint inhibitor-induced diabetes and have knowledge of the underlying mechanisms and their therapeutic implications.</w:t>
      </w:r>
    </w:p>
    <w:p w14:paraId="428AB789" w14:textId="77777777" w:rsidR="00404156" w:rsidRDefault="00404156" w:rsidP="00404156">
      <w:pPr>
        <w:jc w:val="both"/>
        <w:rPr>
          <w:rFonts w:ascii="Garamond" w:hAnsi="Garamond"/>
          <w:b/>
          <w:sz w:val="20"/>
          <w:szCs w:val="20"/>
          <w:u w:val="single"/>
        </w:rPr>
      </w:pPr>
    </w:p>
    <w:p w14:paraId="2655EF6D" w14:textId="5BB17963" w:rsidR="00404156" w:rsidRPr="00C61164" w:rsidRDefault="00404156" w:rsidP="00404156">
      <w:pPr>
        <w:jc w:val="both"/>
        <w:rPr>
          <w:rFonts w:ascii="Garamond" w:hAnsi="Garamond"/>
          <w:b/>
          <w:sz w:val="20"/>
          <w:szCs w:val="20"/>
          <w:u w:val="single"/>
        </w:rPr>
      </w:pPr>
      <w:r w:rsidRPr="00C61164">
        <w:rPr>
          <w:rFonts w:ascii="Garamond" w:hAnsi="Garamond"/>
          <w:b/>
          <w:sz w:val="20"/>
          <w:szCs w:val="20"/>
          <w:u w:val="single"/>
        </w:rPr>
        <w:t>LEARNING OBJECTIVES:</w:t>
      </w:r>
    </w:p>
    <w:p w14:paraId="49CEFE04" w14:textId="77777777" w:rsidR="00404156" w:rsidRPr="009B330B" w:rsidRDefault="00404156" w:rsidP="00404156">
      <w:pPr>
        <w:jc w:val="both"/>
        <w:rPr>
          <w:rFonts w:ascii="Garamond" w:hAnsi="Garamond"/>
          <w:bCs/>
          <w:sz w:val="20"/>
          <w:szCs w:val="20"/>
        </w:rPr>
      </w:pPr>
      <w:r w:rsidRPr="009B330B">
        <w:rPr>
          <w:rFonts w:ascii="Garamond" w:hAnsi="Garamond"/>
          <w:bCs/>
          <w:sz w:val="20"/>
          <w:szCs w:val="20"/>
        </w:rPr>
        <w:t>1.</w:t>
      </w:r>
      <w:r>
        <w:rPr>
          <w:rFonts w:ascii="Garamond" w:hAnsi="Garamond"/>
          <w:bCs/>
          <w:sz w:val="20"/>
          <w:szCs w:val="20"/>
        </w:rPr>
        <w:t xml:space="preserve"> </w:t>
      </w:r>
      <w:r w:rsidRPr="009B330B">
        <w:rPr>
          <w:rFonts w:ascii="Garamond" w:hAnsi="Garamond"/>
          <w:bCs/>
          <w:sz w:val="20"/>
          <w:szCs w:val="20"/>
        </w:rPr>
        <w:t xml:space="preserve">Identify key features of checkpoint inhibitor-induced diabetes, including similarities and differences to spontaneous diabetes </w:t>
      </w:r>
    </w:p>
    <w:p w14:paraId="24F3BBFE" w14:textId="77777777" w:rsidR="00404156" w:rsidRPr="009B330B" w:rsidRDefault="00404156" w:rsidP="00404156">
      <w:pPr>
        <w:jc w:val="both"/>
        <w:rPr>
          <w:rFonts w:ascii="Garamond" w:hAnsi="Garamond"/>
          <w:bCs/>
          <w:sz w:val="20"/>
          <w:szCs w:val="20"/>
        </w:rPr>
      </w:pPr>
      <w:r>
        <w:rPr>
          <w:rFonts w:ascii="Garamond" w:hAnsi="Garamond"/>
          <w:bCs/>
          <w:sz w:val="20"/>
          <w:szCs w:val="20"/>
        </w:rPr>
        <w:t xml:space="preserve">2. </w:t>
      </w:r>
      <w:r w:rsidRPr="009B330B">
        <w:rPr>
          <w:rFonts w:ascii="Garamond" w:hAnsi="Garamond"/>
          <w:bCs/>
          <w:sz w:val="20"/>
          <w:szCs w:val="20"/>
        </w:rPr>
        <w:t xml:space="preserve">Review immunological and islet cell changes that may lead to the development of checkpoint inhibitor-induced diabetes </w:t>
      </w:r>
    </w:p>
    <w:p w14:paraId="357FBF43" w14:textId="77777777" w:rsidR="00404156" w:rsidRPr="009B330B" w:rsidRDefault="00404156" w:rsidP="00404156">
      <w:pPr>
        <w:jc w:val="both"/>
        <w:rPr>
          <w:rFonts w:ascii="Garamond" w:hAnsi="Garamond"/>
          <w:bCs/>
          <w:sz w:val="20"/>
          <w:szCs w:val="20"/>
        </w:rPr>
      </w:pPr>
      <w:r>
        <w:rPr>
          <w:rFonts w:ascii="Garamond" w:hAnsi="Garamond"/>
          <w:bCs/>
          <w:sz w:val="20"/>
          <w:szCs w:val="20"/>
        </w:rPr>
        <w:t xml:space="preserve">3. </w:t>
      </w:r>
      <w:r w:rsidRPr="009B330B">
        <w:rPr>
          <w:rFonts w:ascii="Garamond" w:hAnsi="Garamond"/>
          <w:bCs/>
          <w:sz w:val="20"/>
          <w:szCs w:val="20"/>
        </w:rPr>
        <w:t>Appreciate potential therapeutic implications of recent insights into the mechanisms of checkpoint inhibitor-induced diabetes</w:t>
      </w:r>
    </w:p>
    <w:p w14:paraId="472661B1" w14:textId="77777777" w:rsidR="00404156" w:rsidRDefault="00404156" w:rsidP="001B6215">
      <w:pPr>
        <w:jc w:val="both"/>
        <w:rPr>
          <w:rFonts w:ascii="Garamond" w:hAnsi="Garamond"/>
          <w:b/>
          <w:sz w:val="20"/>
          <w:szCs w:val="20"/>
          <w:u w:val="single"/>
        </w:rPr>
      </w:pPr>
    </w:p>
    <w:p w14:paraId="1D56F6F4" w14:textId="5BA0E963"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FF2C0AB" w:rsidR="005A7B39" w:rsidRDefault="00766FCD" w:rsidP="001B6215">
      <w:pPr>
        <w:jc w:val="both"/>
        <w:rPr>
          <w:rFonts w:ascii="Garamond" w:hAnsi="Garamond"/>
          <w:sz w:val="20"/>
          <w:szCs w:val="20"/>
        </w:rPr>
      </w:pPr>
      <w:r>
        <w:rPr>
          <w:rFonts w:ascii="Garamond" w:hAnsi="Garamond"/>
          <w:sz w:val="20"/>
          <w:szCs w:val="20"/>
        </w:rPr>
        <w:t xml:space="preserve">Speaker: </w:t>
      </w:r>
      <w:proofErr w:type="spellStart"/>
      <w:r w:rsidR="00863C88">
        <w:rPr>
          <w:rFonts w:ascii="Garamond" w:hAnsi="Garamond"/>
          <w:sz w:val="20"/>
          <w:szCs w:val="20"/>
        </w:rPr>
        <w:t>Rupak</w:t>
      </w:r>
      <w:proofErr w:type="spellEnd"/>
      <w:r w:rsidR="00863C88">
        <w:rPr>
          <w:rFonts w:ascii="Garamond" w:hAnsi="Garamond"/>
          <w:sz w:val="20"/>
          <w:szCs w:val="20"/>
        </w:rPr>
        <w:t xml:space="preserve"> Datta, MD- </w:t>
      </w:r>
      <w:r w:rsidR="00672654">
        <w:rPr>
          <w:rFonts w:ascii="Garamond" w:hAnsi="Garamond"/>
          <w:sz w:val="20"/>
          <w:szCs w:val="20"/>
        </w:rPr>
        <w:t>None</w:t>
      </w:r>
    </w:p>
    <w:p w14:paraId="2ED63072" w14:textId="0BA8A151" w:rsidR="00404156" w:rsidRPr="00C61164" w:rsidRDefault="00404156" w:rsidP="001B6215">
      <w:pPr>
        <w:jc w:val="both"/>
        <w:rPr>
          <w:rFonts w:ascii="Garamond" w:hAnsi="Garamond"/>
          <w:sz w:val="20"/>
          <w:szCs w:val="20"/>
        </w:rPr>
      </w:pPr>
      <w:r>
        <w:rPr>
          <w:rFonts w:ascii="Garamond" w:hAnsi="Garamond"/>
          <w:sz w:val="20"/>
          <w:szCs w:val="20"/>
        </w:rPr>
        <w:t xml:space="preserve">Speaker: </w:t>
      </w:r>
      <w:r>
        <w:rPr>
          <w:rFonts w:ascii="Garamond" w:hAnsi="Garamond"/>
          <w:sz w:val="20"/>
          <w:szCs w:val="20"/>
        </w:rPr>
        <w:t xml:space="preserve">Anna </w:t>
      </w:r>
      <w:proofErr w:type="spellStart"/>
      <w:r>
        <w:rPr>
          <w:rFonts w:ascii="Garamond" w:hAnsi="Garamond"/>
          <w:sz w:val="20"/>
          <w:szCs w:val="20"/>
        </w:rPr>
        <w:t>Perdigoto</w:t>
      </w:r>
      <w:proofErr w:type="spellEnd"/>
      <w:r>
        <w:rPr>
          <w:rFonts w:ascii="Garamond" w:hAnsi="Garamond"/>
          <w:sz w:val="20"/>
          <w:szCs w:val="20"/>
        </w:rPr>
        <w:t>, MD, PhD-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 xml:space="preserve">It is the policy of Yale School of Medicine, Continuing Medical Education, to ensure balance, independence, </w:t>
      </w:r>
      <w:proofErr w:type="gramStart"/>
      <w:r w:rsidRPr="00C61164">
        <w:rPr>
          <w:rFonts w:ascii="Garamond" w:hAnsi="Garamond"/>
          <w:sz w:val="20"/>
          <w:szCs w:val="20"/>
        </w:rPr>
        <w:t>objectivity</w:t>
      </w:r>
      <w:proofErr w:type="gramEnd"/>
      <w:r w:rsidRPr="00C61164">
        <w:rPr>
          <w:rFonts w:ascii="Garamond" w:hAnsi="Garamond"/>
          <w:sz w:val="20"/>
          <w:szCs w:val="20"/>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C4663" w14:textId="77777777" w:rsidR="00A17C86" w:rsidRDefault="00A17C86" w:rsidP="00C56D8A">
      <w:r>
        <w:separator/>
      </w:r>
    </w:p>
  </w:endnote>
  <w:endnote w:type="continuationSeparator" w:id="0">
    <w:p w14:paraId="142A789F" w14:textId="77777777" w:rsidR="00A17C86" w:rsidRDefault="00A17C86"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Times New Roman (Body C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A9ED3" w14:textId="77777777" w:rsidR="00A17C86" w:rsidRDefault="00A17C86" w:rsidP="00C56D8A">
      <w:r>
        <w:separator/>
      </w:r>
    </w:p>
  </w:footnote>
  <w:footnote w:type="continuationSeparator" w:id="0">
    <w:p w14:paraId="11835532" w14:textId="77777777" w:rsidR="00A17C86" w:rsidRDefault="00A17C86"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8635A89"/>
    <w:multiLevelType w:val="hybridMultilevel"/>
    <w:tmpl w:val="F03E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731F8"/>
    <w:multiLevelType w:val="hybridMultilevel"/>
    <w:tmpl w:val="690E9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43066A"/>
    <w:multiLevelType w:val="hybridMultilevel"/>
    <w:tmpl w:val="E932EB04"/>
    <w:lvl w:ilvl="0" w:tplc="182C90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33975"/>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3F4BA6"/>
    <w:rsid w:val="00404156"/>
    <w:rsid w:val="00456098"/>
    <w:rsid w:val="00466BA1"/>
    <w:rsid w:val="00472605"/>
    <w:rsid w:val="00481F88"/>
    <w:rsid w:val="004A3256"/>
    <w:rsid w:val="004B7394"/>
    <w:rsid w:val="004D0CDB"/>
    <w:rsid w:val="004F3F78"/>
    <w:rsid w:val="00556381"/>
    <w:rsid w:val="005640BD"/>
    <w:rsid w:val="005876B3"/>
    <w:rsid w:val="005A7B39"/>
    <w:rsid w:val="005C628E"/>
    <w:rsid w:val="005F12E8"/>
    <w:rsid w:val="00630692"/>
    <w:rsid w:val="006346C1"/>
    <w:rsid w:val="0064239A"/>
    <w:rsid w:val="00670AD1"/>
    <w:rsid w:val="00672654"/>
    <w:rsid w:val="00677794"/>
    <w:rsid w:val="006D51F2"/>
    <w:rsid w:val="00702303"/>
    <w:rsid w:val="00711E95"/>
    <w:rsid w:val="00723DD5"/>
    <w:rsid w:val="00725972"/>
    <w:rsid w:val="00745D86"/>
    <w:rsid w:val="00763E1A"/>
    <w:rsid w:val="00766FCD"/>
    <w:rsid w:val="0077143C"/>
    <w:rsid w:val="007768A6"/>
    <w:rsid w:val="00796C70"/>
    <w:rsid w:val="00797BD1"/>
    <w:rsid w:val="007A7132"/>
    <w:rsid w:val="007C6AD7"/>
    <w:rsid w:val="007C6DFB"/>
    <w:rsid w:val="007D32D5"/>
    <w:rsid w:val="007D48BC"/>
    <w:rsid w:val="007F5064"/>
    <w:rsid w:val="007F6B0F"/>
    <w:rsid w:val="008200E1"/>
    <w:rsid w:val="00841EE6"/>
    <w:rsid w:val="00853985"/>
    <w:rsid w:val="00863C88"/>
    <w:rsid w:val="00866F4A"/>
    <w:rsid w:val="0086761B"/>
    <w:rsid w:val="00867F8E"/>
    <w:rsid w:val="008D318D"/>
    <w:rsid w:val="00915780"/>
    <w:rsid w:val="00935EF4"/>
    <w:rsid w:val="00941C2E"/>
    <w:rsid w:val="00951DAB"/>
    <w:rsid w:val="00954871"/>
    <w:rsid w:val="00961B92"/>
    <w:rsid w:val="009C79AA"/>
    <w:rsid w:val="009D487C"/>
    <w:rsid w:val="009E57E2"/>
    <w:rsid w:val="00A17C86"/>
    <w:rsid w:val="00A46992"/>
    <w:rsid w:val="00AD5711"/>
    <w:rsid w:val="00AE26F0"/>
    <w:rsid w:val="00AF24F7"/>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E0E1D"/>
    <w:rsid w:val="00CF391D"/>
    <w:rsid w:val="00D100AA"/>
    <w:rsid w:val="00D10323"/>
    <w:rsid w:val="00D1124B"/>
    <w:rsid w:val="00D418C8"/>
    <w:rsid w:val="00D4600A"/>
    <w:rsid w:val="00D74FCC"/>
    <w:rsid w:val="00DD2BF3"/>
    <w:rsid w:val="00DF757C"/>
    <w:rsid w:val="00E65180"/>
    <w:rsid w:val="00E83DEF"/>
    <w:rsid w:val="00E94611"/>
    <w:rsid w:val="00EA471E"/>
    <w:rsid w:val="00EB6641"/>
    <w:rsid w:val="00EC0BFF"/>
    <w:rsid w:val="00EC18ED"/>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 w:type="character" w:styleId="FollowedHyperlink">
    <w:name w:val="FollowedHyperlink"/>
    <w:basedOn w:val="DefaultParagraphFont"/>
    <w:uiPriority w:val="99"/>
    <w:semiHidden/>
    <w:unhideWhenUsed/>
    <w:rsid w:val="00404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2408">
      <w:bodyDiv w:val="1"/>
      <w:marLeft w:val="0"/>
      <w:marRight w:val="0"/>
      <w:marTop w:val="0"/>
      <w:marBottom w:val="0"/>
      <w:divBdr>
        <w:top w:val="none" w:sz="0" w:space="0" w:color="auto"/>
        <w:left w:val="none" w:sz="0" w:space="0" w:color="auto"/>
        <w:bottom w:val="none" w:sz="0" w:space="0" w:color="auto"/>
        <w:right w:val="none" w:sz="0" w:space="0" w:color="auto"/>
      </w:divBdr>
    </w:div>
    <w:div w:id="220094434">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049035618">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4</cp:revision>
  <cp:lastPrinted>2021-05-13T16:06:00Z</cp:lastPrinted>
  <dcterms:created xsi:type="dcterms:W3CDTF">2021-05-13T16:06:00Z</dcterms:created>
  <dcterms:modified xsi:type="dcterms:W3CDTF">2021-05-13T16:14:00Z</dcterms:modified>
</cp:coreProperties>
</file>