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014D7">
      <w:pPr>
        <w:pStyle w:val="granted"/>
        <w:ind w:left="-90" w:right="-27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2123A645" w14:textId="77777777" w:rsidR="001156F6" w:rsidRPr="0023317D" w:rsidRDefault="001156F6" w:rsidP="001156F6">
      <w:pPr>
        <w:pStyle w:val="granted"/>
        <w:spacing w:before="0" w:beforeAutospacing="0" w:after="0" w:afterAutospacing="0"/>
        <w:ind w:right="-18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GIM “Research In Progress” Meeting</w:t>
      </w:r>
    </w:p>
    <w:p w14:paraId="6FAE6AD3" w14:textId="77777777" w:rsidR="001156F6" w:rsidRPr="0023317D" w:rsidRDefault="001156F6" w:rsidP="001156F6">
      <w:pPr>
        <w:pStyle w:val="granted"/>
        <w:spacing w:before="0" w:beforeAutospacing="0" w:after="0" w:afterAutospacing="0"/>
        <w:ind w:right="-18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1145159E" w14:textId="77777777" w:rsidR="001156F6" w:rsidRPr="0023317D" w:rsidRDefault="001156F6" w:rsidP="001156F6">
      <w:pPr>
        <w:pStyle w:val="granted"/>
        <w:spacing w:before="0" w:beforeAutospacing="0" w:after="0" w:afterAutospacing="0"/>
        <w:ind w:right="-18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225B16B5" w14:textId="77777777" w:rsidR="001156F6" w:rsidRPr="002F5CD3" w:rsidRDefault="001156F6" w:rsidP="001156F6">
      <w:pPr>
        <w:pStyle w:val="granted"/>
        <w:spacing w:before="0" w:beforeAutospacing="0" w:after="0" w:afterAutospacing="0"/>
        <w:ind w:right="-18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 Internal Medicine</w:t>
      </w:r>
    </w:p>
    <w:p w14:paraId="1B82DC19" w14:textId="77777777" w:rsidR="001156F6" w:rsidRDefault="001156F6" w:rsidP="001156F6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0642635B" w14:textId="77777777" w:rsidR="001156F6" w:rsidRDefault="001156F6" w:rsidP="001156F6">
      <w:pPr>
        <w:spacing w:after="200"/>
        <w:ind w:left="-90" w:right="-2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 xml:space="preserve">“Health Equity, Performance Measurement, and the Problem of Accountability” </w:t>
      </w:r>
    </w:p>
    <w:p w14:paraId="3BEA5D58" w14:textId="77777777" w:rsidR="001156F6" w:rsidRDefault="001156F6" w:rsidP="001156F6">
      <w:pPr>
        <w:ind w:left="630" w:firstLine="630"/>
        <w:jc w:val="center"/>
        <w:rPr>
          <w:rFonts w:ascii="Arial" w:eastAsia="Cambria" w:hAnsi="Arial" w:cs="Arial"/>
          <w:b/>
          <w:bCs/>
          <w:sz w:val="32"/>
          <w:szCs w:val="32"/>
        </w:rPr>
      </w:pPr>
      <w:r w:rsidRPr="006E6FB8">
        <w:rPr>
          <w:rFonts w:ascii="Arial" w:eastAsia="Cambria" w:hAnsi="Arial" w:cs="Arial"/>
          <w:b/>
          <w:bCs/>
          <w:sz w:val="32"/>
          <w:szCs w:val="32"/>
        </w:rPr>
        <w:t>Susannah Bernheim, MD, MHS</w:t>
      </w:r>
    </w:p>
    <w:tbl>
      <w:tblPr>
        <w:tblStyle w:val="TableGrid"/>
        <w:tblW w:w="1012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1156F6" w14:paraId="1F007F67" w14:textId="77777777" w:rsidTr="00BA2B35">
        <w:trPr>
          <w:trHeight w:val="2939"/>
        </w:trPr>
        <w:tc>
          <w:tcPr>
            <w:tcW w:w="10121" w:type="dxa"/>
          </w:tcPr>
          <w:p w14:paraId="290BD728" w14:textId="77777777" w:rsidR="001156F6" w:rsidRDefault="001156F6" w:rsidP="00BA2B35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25AEA569" wp14:editId="380C738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0</wp:posOffset>
                  </wp:positionV>
                  <wp:extent cx="1219200" cy="1826260"/>
                  <wp:effectExtent l="19050" t="19050" r="19050" b="2159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626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         </w:t>
            </w:r>
          </w:p>
          <w:p w14:paraId="4649D95F" w14:textId="77777777" w:rsidR="001156F6" w:rsidRDefault="001156F6" w:rsidP="00BA2B35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1A24E210" w14:textId="77777777" w:rsidR="001156F6" w:rsidRDefault="001156F6" w:rsidP="00BA2B35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14013D68" w14:textId="77777777" w:rsidR="001156F6" w:rsidRDefault="001156F6" w:rsidP="00BA2B35">
            <w:pPr>
              <w:ind w:right="102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6E6FB8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Associate Professor</w:t>
            </w:r>
          </w:p>
          <w:p w14:paraId="0E9D7E19" w14:textId="77777777" w:rsidR="001156F6" w:rsidRPr="006E6FB8" w:rsidRDefault="001156F6" w:rsidP="00BA2B35">
            <w:pPr>
              <w:ind w:right="102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6E6FB8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Director, Quality Measurement Programs (CORE)</w:t>
            </w:r>
          </w:p>
          <w:p w14:paraId="4AFB4B37" w14:textId="77777777" w:rsidR="001156F6" w:rsidRDefault="001156F6" w:rsidP="00BA2B35">
            <w:pPr>
              <w:ind w:right="102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6E6FB8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Assistant Clinical Professor, General Internal Medicine,</w:t>
            </w:r>
          </w:p>
          <w:p w14:paraId="2581576C" w14:textId="77777777" w:rsidR="001156F6" w:rsidRDefault="001156F6" w:rsidP="00BA2B35">
            <w:pPr>
              <w:ind w:right="102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6E6FB8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Yale School of Medicine</w:t>
            </w:r>
          </w:p>
          <w:p w14:paraId="6E0386EC" w14:textId="77777777" w:rsidR="001156F6" w:rsidRDefault="001156F6" w:rsidP="00BA2B35">
            <w:pPr>
              <w:ind w:left="-810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185C10E2" w14:textId="77777777" w:rsidR="001156F6" w:rsidRPr="00294073" w:rsidRDefault="001156F6" w:rsidP="00BA2B35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</w:tc>
      </w:tr>
      <w:tr w:rsidR="001156F6" w14:paraId="5D29BFC4" w14:textId="77777777" w:rsidTr="00BA2B35">
        <w:trPr>
          <w:trHeight w:val="2939"/>
        </w:trPr>
        <w:tc>
          <w:tcPr>
            <w:tcW w:w="10121" w:type="dxa"/>
          </w:tcPr>
          <w:p w14:paraId="712448F7" w14:textId="77777777" w:rsidR="001156F6" w:rsidRPr="002F5CD3" w:rsidRDefault="001156F6" w:rsidP="00BA2B35">
            <w:pPr>
              <w:spacing w:after="200"/>
              <w:ind w:left="-180" w:firstLine="180"/>
              <w:jc w:val="center"/>
              <w:rPr>
                <w:rFonts w:ascii="Arial" w:eastAsia="Cambria" w:hAnsi="Arial"/>
                <w:b/>
                <w:bCs/>
                <w:noProof/>
                <w:sz w:val="24"/>
                <w:szCs w:val="24"/>
              </w:rPr>
            </w:pPr>
            <w:r w:rsidRPr="002F5CD3">
              <w:rPr>
                <w:rFonts w:ascii="Arial" w:eastAsia="Cambria" w:hAnsi="Arial"/>
                <w:b/>
                <w:bCs/>
                <w:noProof/>
                <w:sz w:val="24"/>
                <w:szCs w:val="24"/>
              </w:rPr>
              <w:t xml:space="preserve">Date: </w:t>
            </w:r>
            <w:r>
              <w:rPr>
                <w:rFonts w:ascii="Arial" w:eastAsia="Cambria" w:hAnsi="Arial"/>
                <w:b/>
                <w:bCs/>
                <w:noProof/>
                <w:sz w:val="24"/>
                <w:szCs w:val="24"/>
              </w:rPr>
              <w:t xml:space="preserve">May 19, 2022 </w:t>
            </w:r>
            <w:r w:rsidRPr="002F5CD3">
              <w:rPr>
                <w:rFonts w:ascii="Arial" w:eastAsia="Cambria" w:hAnsi="Arial"/>
                <w:b/>
                <w:bCs/>
                <w:noProof/>
                <w:sz w:val="24"/>
                <w:szCs w:val="24"/>
              </w:rPr>
              <w:t>12:00pm – 1:00pm</w:t>
            </w:r>
          </w:p>
          <w:p w14:paraId="18100E90" w14:textId="77777777" w:rsidR="001156F6" w:rsidRDefault="001156F6" w:rsidP="00BA2B35">
            <w:pPr>
              <w:spacing w:after="200"/>
              <w:ind w:left="-180" w:firstLine="180"/>
              <w:jc w:val="center"/>
              <w:rPr>
                <w:rFonts w:ascii="Arial" w:eastAsia="Cambria" w:hAnsi="Arial"/>
                <w:noProof/>
                <w:sz w:val="22"/>
                <w:szCs w:val="22"/>
              </w:rPr>
            </w:pPr>
            <w:r w:rsidRPr="0084238D">
              <w:rPr>
                <w:rFonts w:ascii="Arial" w:eastAsia="Cambria" w:hAnsi="Arial"/>
                <w:noProof/>
                <w:sz w:val="22"/>
                <w:szCs w:val="22"/>
              </w:rPr>
              <w:t xml:space="preserve">Zoom: </w:t>
            </w:r>
            <w:hyperlink r:id="rId7" w:history="1">
              <w:r w:rsidRPr="00047F3A">
                <w:rPr>
                  <w:rStyle w:val="Hyperlink"/>
                  <w:rFonts w:ascii="Arial" w:eastAsia="Cambria" w:hAnsi="Arial"/>
                  <w:noProof/>
                  <w:sz w:val="22"/>
                  <w:szCs w:val="22"/>
                </w:rPr>
                <w:t>https://zoom.us/j/95746029979?pwd=QzhPa1FycWYxZFVHT3ZtYlYzN1p3UT09</w:t>
              </w:r>
            </w:hyperlink>
            <w:r>
              <w:rPr>
                <w:rFonts w:ascii="Arial" w:eastAsia="Cambria" w:hAnsi="Arial"/>
                <w:noProof/>
                <w:sz w:val="22"/>
                <w:szCs w:val="22"/>
              </w:rPr>
              <w:t xml:space="preserve"> </w:t>
            </w:r>
          </w:p>
          <w:p w14:paraId="3B0B7444" w14:textId="77777777" w:rsidR="001156F6" w:rsidRPr="0084238D" w:rsidRDefault="001156F6" w:rsidP="00BA2B35">
            <w:pPr>
              <w:spacing w:after="200"/>
              <w:ind w:left="-180" w:firstLine="180"/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AC4DCE">
              <w:rPr>
                <w:rFonts w:ascii="Arial" w:eastAsia="Cambria" w:hAnsi="Arial" w:cs="Arial"/>
                <w:b/>
                <w:bCs/>
                <w:iCs/>
                <w:sz w:val="22"/>
                <w:szCs w:val="22"/>
              </w:rPr>
              <w:t xml:space="preserve">Texting code for today’s session: </w:t>
            </w:r>
            <w:r>
              <w:rPr>
                <w:rFonts w:ascii="Arial" w:eastAsia="Cambria" w:hAnsi="Arial" w:cs="Arial"/>
                <w:b/>
                <w:bCs/>
                <w:iCs/>
                <w:sz w:val="22"/>
                <w:szCs w:val="22"/>
              </w:rPr>
              <w:t>TBD</w:t>
            </w:r>
            <w:r w:rsidRPr="0084238D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                             </w:t>
            </w:r>
          </w:p>
          <w:p w14:paraId="41783942" w14:textId="77777777" w:rsidR="001156F6" w:rsidRPr="0084238D" w:rsidRDefault="001156F6" w:rsidP="00BA2B35">
            <w:pPr>
              <w:ind w:left="-180" w:firstLine="180"/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84238D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Course Director/Host: Patrick G. O’Connor, MD, MPH, 203-688-6532</w:t>
            </w:r>
          </w:p>
          <w:p w14:paraId="3C3969AD" w14:textId="77777777" w:rsidR="001156F6" w:rsidRPr="002F5CD3" w:rsidRDefault="001156F6" w:rsidP="00BA2B35">
            <w:pPr>
              <w:ind w:left="-180" w:firstLine="180"/>
              <w:jc w:val="center"/>
              <w:rPr>
                <w:rFonts w:ascii="Arial" w:eastAsia="Cambria" w:hAnsi="Arial" w:cs="Arial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2F5CD3">
              <w:rPr>
                <w:rFonts w:ascii="Arial" w:eastAsia="Cambria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There is no corporate or commercial support for this activity</w:t>
            </w:r>
          </w:p>
          <w:p w14:paraId="0197DD61" w14:textId="77777777" w:rsidR="001156F6" w:rsidRPr="0084238D" w:rsidRDefault="001156F6" w:rsidP="00BA2B35">
            <w:pPr>
              <w:ind w:left="-180" w:firstLine="180"/>
              <w:jc w:val="center"/>
              <w:rPr>
                <w:rFonts w:ascii="Arial" w:eastAsia="Cambria" w:hAnsi="Arial" w:cs="Arial"/>
                <w:b/>
                <w:bCs/>
                <w:sz w:val="22"/>
                <w:szCs w:val="22"/>
              </w:rPr>
            </w:pPr>
            <w:r w:rsidRPr="0084238D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>This course will fulfill the licensure requirement set forth by the State of Connecticut</w:t>
            </w:r>
          </w:p>
          <w:p w14:paraId="3A148950" w14:textId="77777777" w:rsidR="001156F6" w:rsidRDefault="001156F6" w:rsidP="00BA2B35"/>
          <w:tbl>
            <w:tblPr>
              <w:tblStyle w:val="ListTable5Dark-Accent51"/>
              <w:tblW w:w="9870" w:type="dxa"/>
              <w:tblLook w:val="04A0" w:firstRow="1" w:lastRow="0" w:firstColumn="1" w:lastColumn="0" w:noHBand="0" w:noVBand="1"/>
            </w:tblPr>
            <w:tblGrid>
              <w:gridCol w:w="9870"/>
            </w:tblGrid>
            <w:tr w:rsidR="001156F6" w14:paraId="19B89DF5" w14:textId="77777777" w:rsidTr="00BA2B3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70" w:type="dxa"/>
                  <w:tcBorders>
                    <w:right w:val="single" w:sz="4" w:space="0" w:color="FFFFFF" w:themeColor="background1"/>
                  </w:tcBorders>
                </w:tcPr>
                <w:p w14:paraId="40E488F2" w14:textId="77777777" w:rsidR="001156F6" w:rsidRPr="001B3324" w:rsidRDefault="001156F6" w:rsidP="00BA2B35">
                  <w:pPr>
                    <w:spacing w:before="120" w:after="120"/>
                    <w:rPr>
                      <w:rFonts w:ascii="Arial" w:eastAsia="Cambria" w:hAnsi="Arial" w:cs="Arial"/>
                    </w:rPr>
                  </w:pPr>
                  <w:r w:rsidRPr="001B3324">
                    <w:rPr>
                      <w:rFonts w:ascii="Arial" w:eastAsia="Cambria" w:hAnsi="Arial" w:cs="Arial"/>
                    </w:rPr>
                    <w:t xml:space="preserve">Program Goal: </w:t>
                  </w:r>
                </w:p>
                <w:p w14:paraId="1A668AC7" w14:textId="77777777" w:rsidR="001156F6" w:rsidRPr="001B3324" w:rsidRDefault="001156F6" w:rsidP="00BA2B35">
                  <w:pPr>
                    <w:spacing w:after="120"/>
                    <w:rPr>
                      <w:rFonts w:ascii="Arial" w:eastAsia="Cambria" w:hAnsi="Arial" w:cs="Arial"/>
                      <w:color w:val="000000"/>
                    </w:rPr>
                  </w:pPr>
                  <w:r w:rsidRPr="001B3324">
                    <w:rPr>
                      <w:rFonts w:ascii="Arial" w:eastAsia="Cambria" w:hAnsi="Arial" w:cs="Arial"/>
                      <w:b w:val="0"/>
                      <w:bCs w:val="0"/>
                      <w:noProof/>
                    </w:rPr>
                    <w:t xml:space="preserve">1. </w:t>
                  </w:r>
                  <w:r w:rsidRPr="001B3324">
                    <w:rPr>
                      <w:rFonts w:ascii="Arial" w:hAnsi="Arial" w:cs="Arial"/>
                    </w:rPr>
                    <w:t>Methods to measure provider contribution to healthcare outcome disparities for purposes of quality measurement</w:t>
                  </w:r>
                </w:p>
                <w:p w14:paraId="6AE6A61E" w14:textId="77777777" w:rsidR="001156F6" w:rsidRPr="001B3324" w:rsidRDefault="001156F6" w:rsidP="00BA2B35">
                  <w:pPr>
                    <w:spacing w:after="120"/>
                    <w:rPr>
                      <w:rFonts w:ascii="Arial" w:hAnsi="Arial" w:cs="Arial"/>
                      <w:b w:val="0"/>
                      <w:bCs w:val="0"/>
                    </w:rPr>
                  </w:pPr>
                  <w:r w:rsidRPr="001B3324">
                    <w:rPr>
                      <w:rFonts w:ascii="Arial" w:eastAsia="Cambria" w:hAnsi="Arial" w:cs="Arial"/>
                      <w:noProof/>
                    </w:rPr>
                    <w:t xml:space="preserve">2. </w:t>
                  </w:r>
                  <w:r w:rsidRPr="001B3324">
                    <w:rPr>
                      <w:rFonts w:ascii="Arial" w:hAnsi="Arial" w:cs="Arial"/>
                    </w:rPr>
                    <w:t>Influence of state Medicaid policy, provider availability, and neighborhood on within-hospital healthcare disparities</w:t>
                  </w:r>
                </w:p>
                <w:p w14:paraId="2D7FC516" w14:textId="77777777" w:rsidR="001156F6" w:rsidRPr="001B3324" w:rsidRDefault="001156F6" w:rsidP="00BA2B35">
                  <w:pPr>
                    <w:spacing w:after="120"/>
                    <w:rPr>
                      <w:rFonts w:ascii="Arial" w:eastAsia="Cambria" w:hAnsi="Arial" w:cs="Arial"/>
                      <w:color w:val="000000"/>
                    </w:rPr>
                  </w:pPr>
                  <w:r w:rsidRPr="001B3324">
                    <w:rPr>
                      <w:rFonts w:ascii="Arial" w:eastAsia="Cambria" w:hAnsi="Arial" w:cs="Arial"/>
                      <w:noProof/>
                    </w:rPr>
                    <w:t xml:space="preserve">3. </w:t>
                  </w:r>
                  <w:r w:rsidRPr="001B3324">
                    <w:rPr>
                      <w:rFonts w:ascii="Arial" w:hAnsi="Arial" w:cs="Arial"/>
                    </w:rPr>
                    <w:t>Potential future directions for quality measurement to advance healthcare equity</w:t>
                  </w:r>
                </w:p>
              </w:tc>
            </w:tr>
            <w:tr w:rsidR="001156F6" w14:paraId="75710769" w14:textId="77777777" w:rsidTr="00BA2B3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70" w:type="dxa"/>
                </w:tcPr>
                <w:p w14:paraId="5A9085FC" w14:textId="77777777" w:rsidR="001156F6" w:rsidRPr="00CC0ABE" w:rsidRDefault="001156F6" w:rsidP="00BA2B35">
                  <w:pPr>
                    <w:spacing w:before="120" w:after="200"/>
                    <w:rPr>
                      <w:rFonts w:ascii="Arial" w:eastAsia="Cambria" w:hAnsi="Arial" w:cs="Arial"/>
                    </w:rPr>
                  </w:pPr>
                  <w:r w:rsidRPr="00BE57F4">
                    <w:rPr>
                      <w:rFonts w:ascii="Arial" w:eastAsia="Cambria" w:hAnsi="Arial" w:cs="Arial"/>
                    </w:rPr>
                    <w:t xml:space="preserve">Target Audience: </w:t>
                  </w:r>
                  <w:r>
                    <w:rPr>
                      <w:rFonts w:ascii="Arial" w:eastAsia="Cambria" w:hAnsi="Arial" w:cs="Arial"/>
                    </w:rPr>
                    <w:t>Medical Professionals (change as needed)</w:t>
                  </w:r>
                </w:p>
              </w:tc>
            </w:tr>
          </w:tbl>
          <w:p w14:paraId="0C363272" w14:textId="77777777" w:rsidR="001156F6" w:rsidRDefault="001156F6" w:rsidP="00BA2B35">
            <w:pPr>
              <w:spacing w:after="200"/>
              <w:rPr>
                <w:rFonts w:ascii="Arial" w:eastAsia="Cambria" w:hAnsi="Arial" w:cs="Arial"/>
                <w:i/>
                <w:sz w:val="16"/>
                <w:szCs w:val="16"/>
              </w:rPr>
            </w:pPr>
            <w:r w:rsidRPr="00BE57F4">
              <w:rPr>
                <w:rFonts w:ascii="Arial" w:eastAsia="Cambria" w:hAnsi="Arial" w:cs="Arial"/>
                <w:i/>
                <w:sz w:val="16"/>
                <w:szCs w:val="16"/>
              </w:rPr>
              <w:t xml:space="preserve">Financial Disclosure Information: </w:t>
            </w:r>
            <w:r w:rsidRPr="00FA716D">
              <w:rPr>
                <w:rFonts w:ascii="Arial" w:eastAsia="Cambria" w:hAnsi="Arial" w:cs="Arial"/>
                <w:i/>
                <w:sz w:val="16"/>
                <w:szCs w:val="16"/>
              </w:rPr>
              <w:t>Dr. Bernheim has no relevant financial relationship(s)</w:t>
            </w:r>
            <w:r w:rsidRPr="00BE57F4">
              <w:rPr>
                <w:rFonts w:ascii="Arial" w:eastAsia="Cambria" w:hAnsi="Arial" w:cs="Arial"/>
                <w:i/>
                <w:sz w:val="16"/>
                <w:szCs w:val="16"/>
              </w:rPr>
              <w:t xml:space="preserve"> with ineligible companies to disclose.</w:t>
            </w:r>
          </w:p>
          <w:p w14:paraId="1639F717" w14:textId="77777777" w:rsidR="001156F6" w:rsidRDefault="001156F6" w:rsidP="00BA2B35">
            <w:pPr>
              <w:spacing w:after="200"/>
              <w:rPr>
                <w:rFonts w:ascii="Arial" w:eastAsia="Cambria" w:hAnsi="Arial" w:cs="Arial"/>
                <w:i/>
                <w:sz w:val="16"/>
                <w:szCs w:val="16"/>
              </w:rPr>
            </w:pPr>
            <w:r w:rsidRPr="00512139">
              <w:rPr>
                <w:rFonts w:ascii="Arial" w:eastAsia="Cambria" w:hAnsi="Arial" w:cs="Arial"/>
                <w:i/>
                <w:sz w:val="16"/>
                <w:szCs w:val="16"/>
              </w:rPr>
              <w:t>Accreditation Statement: Yale School of Medicine is accredited by the Accreditation Council for Continuing Medical Education (ACCME) to provide continuing medical education for physicians.</w:t>
            </w:r>
            <w:r>
              <w:rPr>
                <w:rFonts w:ascii="Arial" w:eastAsia="Cambria" w:hAnsi="Arial" w:cs="Arial"/>
                <w:i/>
                <w:sz w:val="16"/>
                <w:szCs w:val="16"/>
              </w:rPr>
              <w:t xml:space="preserve"> </w:t>
            </w:r>
          </w:p>
          <w:p w14:paraId="48C8DF42" w14:textId="77777777" w:rsidR="001156F6" w:rsidRPr="00E736BB" w:rsidRDefault="001156F6" w:rsidP="00BA2B35">
            <w:pPr>
              <w:spacing w:after="200"/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</w:pPr>
            <w:r w:rsidRPr="00512139">
              <w:rPr>
                <w:rFonts w:ascii="Arial" w:eastAsia="Cambria" w:hAnsi="Arial" w:cs="Arial"/>
                <w:i/>
                <w:sz w:val="16"/>
                <w:szCs w:val="16"/>
              </w:rPr>
              <w:t xml:space="preserve">Designation Statement: Yale School of Medicine designates this </w:t>
            </w:r>
            <w:r>
              <w:rPr>
                <w:rFonts w:ascii="Arial" w:eastAsia="Cambria" w:hAnsi="Arial" w:cs="Arial"/>
                <w:i/>
                <w:noProof/>
                <w:sz w:val="16"/>
                <w:szCs w:val="16"/>
              </w:rPr>
              <w:t>Live Activity</w:t>
            </w:r>
            <w:r w:rsidRPr="00512139">
              <w:rPr>
                <w:rFonts w:ascii="Arial" w:eastAsia="Cambria" w:hAnsi="Arial" w:cs="Arial"/>
                <w:i/>
                <w:sz w:val="16"/>
                <w:szCs w:val="16"/>
              </w:rPr>
              <w:t xml:space="preserve"> for a maximum of </w:t>
            </w:r>
            <w:r>
              <w:rPr>
                <w:rFonts w:ascii="Arial" w:eastAsia="Cambria" w:hAnsi="Arial" w:cs="Arial"/>
                <w:b/>
                <w:bCs/>
                <w:i/>
                <w:noProof/>
                <w:color w:val="0078BF"/>
                <w:sz w:val="16"/>
                <w:szCs w:val="16"/>
              </w:rPr>
              <w:t>1.00</w:t>
            </w:r>
            <w:r w:rsidRPr="006F195F">
              <w:rPr>
                <w:rFonts w:ascii="Arial" w:eastAsia="Cambria" w:hAnsi="Arial" w:cs="Arial"/>
                <w:b/>
                <w:bCs/>
                <w:i/>
                <w:color w:val="0078BF"/>
                <w:sz w:val="16"/>
                <w:szCs w:val="16"/>
              </w:rPr>
              <w:t xml:space="preserve"> AMA PRA Category 1 Credit</w:t>
            </w:r>
            <w:r>
              <w:rPr>
                <w:rFonts w:ascii="Arial" w:eastAsia="Cambria" w:hAnsi="Arial" w:cs="Arial"/>
                <w:b/>
                <w:bCs/>
                <w:i/>
                <w:color w:val="0078BF"/>
                <w:sz w:val="16"/>
                <w:szCs w:val="16"/>
              </w:rPr>
              <w:t>(s)™</w:t>
            </w:r>
            <w:r w:rsidRPr="006F195F">
              <w:rPr>
                <w:rFonts w:ascii="Arial" w:eastAsia="Cambria" w:hAnsi="Arial" w:cs="Arial"/>
                <w:b/>
                <w:bCs/>
                <w:i/>
                <w:color w:val="0078BF"/>
                <w:sz w:val="16"/>
                <w:szCs w:val="16"/>
              </w:rPr>
              <w:t>.</w:t>
            </w:r>
            <w:r w:rsidRPr="006F195F">
              <w:rPr>
                <w:rFonts w:ascii="Arial" w:eastAsia="Cambria" w:hAnsi="Arial" w:cs="Arial"/>
                <w:i/>
                <w:color w:val="0078BF"/>
                <w:sz w:val="16"/>
                <w:szCs w:val="16"/>
              </w:rPr>
              <w:t xml:space="preserve"> </w:t>
            </w:r>
            <w:r w:rsidRPr="00512139">
              <w:rPr>
                <w:rFonts w:ascii="Arial" w:eastAsia="Cambria" w:hAnsi="Arial" w:cs="Arial"/>
                <w:i/>
                <w:sz w:val="16"/>
                <w:szCs w:val="16"/>
              </w:rPr>
              <w:t>Physicians should only claim credit commensurate with the extent of their participation in the activity.</w:t>
            </w:r>
          </w:p>
        </w:tc>
      </w:tr>
    </w:tbl>
    <w:p w14:paraId="7469AC81" w14:textId="77777777" w:rsidR="00B85050" w:rsidRDefault="00FA716D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156F6"/>
    <w:rsid w:val="001F5A1E"/>
    <w:rsid w:val="002014D7"/>
    <w:rsid w:val="0023317D"/>
    <w:rsid w:val="002912CF"/>
    <w:rsid w:val="00294073"/>
    <w:rsid w:val="002F5CD3"/>
    <w:rsid w:val="003158C4"/>
    <w:rsid w:val="00394D0E"/>
    <w:rsid w:val="003D672B"/>
    <w:rsid w:val="00407133"/>
    <w:rsid w:val="00483C9F"/>
    <w:rsid w:val="005013B6"/>
    <w:rsid w:val="00630F7F"/>
    <w:rsid w:val="00660DF3"/>
    <w:rsid w:val="00693E53"/>
    <w:rsid w:val="006B0ECA"/>
    <w:rsid w:val="0072258B"/>
    <w:rsid w:val="0084238D"/>
    <w:rsid w:val="0084492D"/>
    <w:rsid w:val="00895033"/>
    <w:rsid w:val="008C1B52"/>
    <w:rsid w:val="009C0AAD"/>
    <w:rsid w:val="00A81D8E"/>
    <w:rsid w:val="00AB598D"/>
    <w:rsid w:val="00AF44A3"/>
    <w:rsid w:val="00B125BF"/>
    <w:rsid w:val="00B445FF"/>
    <w:rsid w:val="00BE57F4"/>
    <w:rsid w:val="00BE7C9B"/>
    <w:rsid w:val="00C07CCC"/>
    <w:rsid w:val="00C24E8A"/>
    <w:rsid w:val="00D53F38"/>
    <w:rsid w:val="00E042BA"/>
    <w:rsid w:val="00E43BDF"/>
    <w:rsid w:val="00E736BB"/>
    <w:rsid w:val="00F3719D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3</cp:revision>
  <dcterms:created xsi:type="dcterms:W3CDTF">2022-05-13T14:18:00Z</dcterms:created>
  <dcterms:modified xsi:type="dcterms:W3CDTF">2022-05-19T12:18:00Z</dcterms:modified>
</cp:coreProperties>
</file>