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C56D8A">
      <w:pPr>
        <w:jc w:val="center"/>
        <w:rPr>
          <w:b/>
          <w:color w:val="FF0000"/>
          <w:sz w:val="20"/>
          <w:szCs w:val="32"/>
        </w:rPr>
      </w:pPr>
      <w:r w:rsidRPr="00A723B1">
        <w:rPr>
          <w:b/>
          <w:color w:val="FF0000"/>
          <w:sz w:val="32"/>
          <w:szCs w:val="32"/>
        </w:rPr>
        <w:t>"</w:t>
      </w:r>
      <w:r w:rsidR="00B31CC5" w:rsidRPr="00B31CC5">
        <w:rPr>
          <w:b/>
          <w:color w:val="FF0000"/>
          <w:sz w:val="32"/>
          <w:szCs w:val="32"/>
        </w:rPr>
        <w:t xml:space="preserve">Self-cutting </w:t>
      </w:r>
      <w:r w:rsidR="0098652B">
        <w:rPr>
          <w:b/>
          <w:color w:val="FF0000"/>
          <w:sz w:val="32"/>
          <w:szCs w:val="32"/>
        </w:rPr>
        <w:t>and</w:t>
      </w:r>
      <w:r w:rsidR="00B31CC5" w:rsidRPr="00B31CC5">
        <w:rPr>
          <w:b/>
          <w:color w:val="FF0000"/>
          <w:sz w:val="32"/>
          <w:szCs w:val="32"/>
        </w:rPr>
        <w:t xml:space="preserve"> the </w:t>
      </w:r>
      <w:bookmarkStart w:id="0" w:name="_GoBack"/>
      <w:bookmarkEnd w:id="0"/>
      <w:r w:rsidR="00B31CC5">
        <w:rPr>
          <w:b/>
          <w:color w:val="FF0000"/>
          <w:sz w:val="32"/>
          <w:szCs w:val="32"/>
        </w:rPr>
        <w:t>R</w:t>
      </w:r>
      <w:r w:rsidR="00B31CC5" w:rsidRPr="00B31CC5">
        <w:rPr>
          <w:b/>
          <w:color w:val="FF0000"/>
          <w:sz w:val="32"/>
          <w:szCs w:val="32"/>
        </w:rPr>
        <w:t xml:space="preserve">elationship to </w:t>
      </w:r>
      <w:r w:rsidR="00B31CC5">
        <w:rPr>
          <w:b/>
          <w:color w:val="FF0000"/>
          <w:sz w:val="32"/>
          <w:szCs w:val="32"/>
        </w:rPr>
        <w:t>Y</w:t>
      </w:r>
      <w:r w:rsidR="00B31CC5" w:rsidRPr="00B31CC5">
        <w:rPr>
          <w:b/>
          <w:color w:val="FF0000"/>
          <w:sz w:val="32"/>
          <w:szCs w:val="32"/>
        </w:rPr>
        <w:t xml:space="preserve">outh </w:t>
      </w:r>
      <w:r w:rsidR="00B31CC5">
        <w:rPr>
          <w:b/>
          <w:color w:val="FF0000"/>
          <w:sz w:val="32"/>
          <w:szCs w:val="32"/>
        </w:rPr>
        <w:t>S</w:t>
      </w:r>
      <w:r w:rsidR="00B31CC5" w:rsidRPr="00B31CC5">
        <w:rPr>
          <w:b/>
          <w:color w:val="FF0000"/>
          <w:sz w:val="32"/>
          <w:szCs w:val="32"/>
        </w:rPr>
        <w:t>uicide</w:t>
      </w:r>
      <w:r w:rsidRPr="00A723B1">
        <w:rPr>
          <w:b/>
          <w:color w:val="FF0000"/>
          <w:sz w:val="32"/>
          <w:szCs w:val="32"/>
        </w:rPr>
        <w:t>"</w:t>
      </w:r>
    </w:p>
    <w:p w:rsidR="00B31CC5" w:rsidRPr="00B31CC5" w:rsidRDefault="00B31CC5" w:rsidP="00C56D8A">
      <w:pPr>
        <w:jc w:val="center"/>
        <w:rPr>
          <w:b/>
          <w:color w:val="FF0000"/>
          <w:sz w:val="20"/>
          <w:szCs w:val="32"/>
        </w:rPr>
      </w:pPr>
    </w:p>
    <w:p w:rsidR="00C56D8A" w:rsidRPr="00C84B3A" w:rsidRDefault="00B31CC5" w:rsidP="00C56D8A">
      <w:pPr>
        <w:jc w:val="center"/>
        <w:rPr>
          <w:b/>
          <w:szCs w:val="32"/>
        </w:rPr>
      </w:pPr>
      <w:r>
        <w:rPr>
          <w:b/>
          <w:szCs w:val="32"/>
        </w:rPr>
        <w:t>Daniel Dickstein, MD, FAAP</w:t>
      </w:r>
    </w:p>
    <w:p w:rsidR="00C84B3A" w:rsidRPr="00C84B3A" w:rsidRDefault="00B31CC5" w:rsidP="00C56D8A">
      <w:pPr>
        <w:jc w:val="center"/>
        <w:rPr>
          <w:szCs w:val="32"/>
        </w:rPr>
      </w:pPr>
      <w:r>
        <w:rPr>
          <w:szCs w:val="32"/>
        </w:rPr>
        <w:t xml:space="preserve">Director </w:t>
      </w:r>
      <w:proofErr w:type="spellStart"/>
      <w:r>
        <w:rPr>
          <w:szCs w:val="32"/>
        </w:rPr>
        <w:t>PediMIND</w:t>
      </w:r>
      <w:proofErr w:type="spellEnd"/>
      <w:r>
        <w:rPr>
          <w:szCs w:val="32"/>
        </w:rPr>
        <w:t xml:space="preserve"> Program</w:t>
      </w:r>
    </w:p>
    <w:p w:rsidR="00A723B1" w:rsidRDefault="00B31CC5" w:rsidP="00C56D8A">
      <w:pPr>
        <w:jc w:val="center"/>
        <w:rPr>
          <w:szCs w:val="32"/>
        </w:rPr>
      </w:pPr>
      <w:r>
        <w:rPr>
          <w:szCs w:val="32"/>
        </w:rPr>
        <w:t xml:space="preserve">Research Scholar Professor of Psychiatry &amp; Pediatrics </w:t>
      </w:r>
    </w:p>
    <w:p w:rsidR="00B31CC5" w:rsidRPr="00A723B1" w:rsidRDefault="00B31CC5" w:rsidP="00C56D8A">
      <w:pPr>
        <w:jc w:val="center"/>
        <w:rPr>
          <w:szCs w:val="32"/>
        </w:rPr>
      </w:pPr>
      <w:r>
        <w:rPr>
          <w:szCs w:val="32"/>
        </w:rPr>
        <w:t>Bradley Hospital/Brown University</w:t>
      </w:r>
    </w:p>
    <w:p w:rsidR="00C84B3A" w:rsidRPr="00C84B3A" w:rsidRDefault="00C84B3A" w:rsidP="00C56D8A">
      <w:pPr>
        <w:jc w:val="center"/>
        <w:rPr>
          <w:szCs w:val="32"/>
        </w:rPr>
      </w:pPr>
    </w:p>
    <w:p w:rsidR="00C56D8A" w:rsidRPr="00C84B3A" w:rsidRDefault="004B7394" w:rsidP="00C56D8A">
      <w:pPr>
        <w:spacing w:before="240"/>
        <w:jc w:val="center"/>
        <w:rPr>
          <w:b/>
        </w:rPr>
      </w:pPr>
      <w:r w:rsidRPr="00C84B3A">
        <w:rPr>
          <w:b/>
        </w:rPr>
        <w:t xml:space="preserve">Date: </w:t>
      </w:r>
      <w:r w:rsidR="00B31CC5">
        <w:rPr>
          <w:b/>
        </w:rPr>
        <w:t>January 14,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C456E2" w:rsidRDefault="00C456E2" w:rsidP="00DD2BF3">
      <w:pPr>
        <w:rPr>
          <w:b/>
          <w:sz w:val="20"/>
          <w:szCs w:val="20"/>
          <w:u w:val="single"/>
        </w:rPr>
      </w:pPr>
    </w:p>
    <w:p w:rsidR="00C456E2" w:rsidRDefault="00C456E2"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sz w:val="20"/>
          <w:szCs w:val="20"/>
        </w:rPr>
      </w:pPr>
    </w:p>
    <w:p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B31CC5" w:rsidP="00F13383">
      <w:pPr>
        <w:pStyle w:val="ListParagraph"/>
        <w:numPr>
          <w:ilvl w:val="0"/>
          <w:numId w:val="1"/>
        </w:numPr>
        <w:rPr>
          <w:sz w:val="16"/>
          <w:szCs w:val="20"/>
        </w:rPr>
      </w:pPr>
      <w:r>
        <w:rPr>
          <w:sz w:val="20"/>
        </w:rPr>
        <w:t>Review the magnitude of the related but distinct problems of youth suicide and non-suicidal self-injury (NSSI, aka “self-cutting”)</w:t>
      </w:r>
    </w:p>
    <w:p w:rsidR="00C456E2" w:rsidRPr="00C456E2" w:rsidRDefault="00B31CC5" w:rsidP="00C456E2">
      <w:pPr>
        <w:pStyle w:val="PlainText"/>
        <w:numPr>
          <w:ilvl w:val="0"/>
          <w:numId w:val="1"/>
        </w:numPr>
        <w:rPr>
          <w:rFonts w:ascii="Times New Roman" w:hAnsi="Times New Roman" w:cs="Times New Roman"/>
          <w:sz w:val="20"/>
        </w:rPr>
      </w:pPr>
      <w:r>
        <w:rPr>
          <w:rFonts w:ascii="Times New Roman" w:hAnsi="Times New Roman" w:cs="Times New Roman"/>
          <w:sz w:val="20"/>
        </w:rPr>
        <w:t>Report data from a study of teens engaged in NSSI and suicide</w:t>
      </w:r>
    </w:p>
    <w:p w:rsidR="00C456E2" w:rsidRPr="00C456E2" w:rsidRDefault="00B31CC5" w:rsidP="00C456E2">
      <w:pPr>
        <w:pStyle w:val="PlainText"/>
        <w:numPr>
          <w:ilvl w:val="0"/>
          <w:numId w:val="1"/>
        </w:numPr>
        <w:rPr>
          <w:rFonts w:ascii="Times New Roman" w:hAnsi="Times New Roman" w:cs="Times New Roman"/>
          <w:sz w:val="20"/>
        </w:rPr>
      </w:pPr>
      <w:r>
        <w:rPr>
          <w:rFonts w:ascii="Times New Roman" w:hAnsi="Times New Roman" w:cs="Times New Roman"/>
          <w:sz w:val="20"/>
        </w:rPr>
        <w:t>Discuss recent data about the underlying brain mechanisms of NSSI and to show how that may be translated into better care in the future</w:t>
      </w:r>
    </w:p>
    <w:p w:rsidR="006B7272" w:rsidRPr="00C84B3A" w:rsidRDefault="006B7272" w:rsidP="00DD2BF3">
      <w:pPr>
        <w:rPr>
          <w:b/>
          <w:sz w:val="20"/>
          <w:szCs w:val="20"/>
          <w:u w:val="single"/>
        </w:rPr>
      </w:pPr>
    </w:p>
    <w:p w:rsidR="00B31CC5" w:rsidRDefault="00A723B1" w:rsidP="00B31CC5">
      <w:pPr>
        <w:rPr>
          <w:b/>
          <w:sz w:val="20"/>
          <w:szCs w:val="20"/>
          <w:u w:val="single"/>
        </w:rPr>
      </w:pPr>
      <w:r>
        <w:rPr>
          <w:b/>
          <w:sz w:val="20"/>
          <w:szCs w:val="20"/>
          <w:u w:val="single"/>
        </w:rPr>
        <w:t>NEEDS ASSESSMENT</w:t>
      </w:r>
    </w:p>
    <w:p w:rsidR="00B31CC5" w:rsidRPr="00B31CC5" w:rsidRDefault="00B31CC5" w:rsidP="00B31CC5">
      <w:pPr>
        <w:rPr>
          <w:sz w:val="18"/>
          <w:szCs w:val="22"/>
        </w:rPr>
      </w:pPr>
      <w:r w:rsidRPr="00B31CC5">
        <w:rPr>
          <w:sz w:val="20"/>
        </w:rPr>
        <w:t>Suicide and non-suicidal self-injury (NSSI, aka "self-cutting") are important problems for all those who work with children.  This talk will help understand the magnitude of the problem, and how the brain/behavior mechanisms underlying these behaviors may improve how we care for children and teens struggling with both.</w:t>
      </w:r>
    </w:p>
    <w:p w:rsidR="00C456E2" w:rsidRDefault="00C456E2" w:rsidP="00DD2BF3">
      <w:pPr>
        <w:rPr>
          <w:b/>
          <w:sz w:val="20"/>
          <w:szCs w:val="20"/>
          <w:u w:val="single"/>
        </w:rPr>
      </w:pPr>
    </w:p>
    <w:p w:rsidR="00C456E2" w:rsidRDefault="00C456E2" w:rsidP="00DD2BF3">
      <w:pPr>
        <w:rPr>
          <w:b/>
          <w:sz w:val="20"/>
          <w:szCs w:val="20"/>
          <w:u w:val="single"/>
        </w:rPr>
      </w:pPr>
    </w:p>
    <w:p w:rsidR="00C456E2" w:rsidRDefault="00C456E2" w:rsidP="00DD2BF3">
      <w:pPr>
        <w:rPr>
          <w:b/>
          <w:sz w:val="20"/>
          <w:szCs w:val="20"/>
          <w:u w:val="single"/>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Pr="00C84B3A" w:rsidRDefault="00B31CC5" w:rsidP="00DD2BF3">
      <w:pPr>
        <w:rPr>
          <w:sz w:val="20"/>
          <w:szCs w:val="20"/>
        </w:rPr>
      </w:pPr>
      <w:r>
        <w:rPr>
          <w:sz w:val="20"/>
          <w:szCs w:val="20"/>
        </w:rPr>
        <w:t>Daniel Dickstein</w:t>
      </w:r>
      <w:r w:rsidR="00F13383">
        <w:rPr>
          <w:sz w:val="20"/>
          <w:szCs w:val="20"/>
        </w:rPr>
        <w:t>: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4593D"/>
    <w:multiLevelType w:val="multilevel"/>
    <w:tmpl w:val="98F80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454473"/>
    <w:rsid w:val="00456098"/>
    <w:rsid w:val="004B7394"/>
    <w:rsid w:val="006B7272"/>
    <w:rsid w:val="007A7132"/>
    <w:rsid w:val="0098652B"/>
    <w:rsid w:val="00A46992"/>
    <w:rsid w:val="00A723B1"/>
    <w:rsid w:val="00B31CC5"/>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D815CF1"/>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811704605">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2019-06-03T13:42:00Z</cp:lastPrinted>
  <dcterms:created xsi:type="dcterms:W3CDTF">2019-11-19T14:45:00Z</dcterms:created>
  <dcterms:modified xsi:type="dcterms:W3CDTF">2020-01-13T16:13:00Z</dcterms:modified>
</cp:coreProperties>
</file>