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70FBFA50"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 xml:space="preserve">e, </w:t>
      </w:r>
    </w:p>
    <w:p w14:paraId="0DBECD8B" w14:textId="209B3073" w:rsidR="00901C84" w:rsidRDefault="00901C84" w:rsidP="00766FCD">
      <w:pPr>
        <w:pStyle w:val="BodyText"/>
        <w:rPr>
          <w:rFonts w:ascii="Garamond" w:hAnsi="Garamond"/>
          <w:sz w:val="28"/>
          <w:szCs w:val="28"/>
        </w:rPr>
      </w:pPr>
      <w:r>
        <w:rPr>
          <w:rFonts w:ascii="Garamond" w:hAnsi="Garamond"/>
          <w:sz w:val="28"/>
          <w:szCs w:val="28"/>
        </w:rPr>
        <w:t>Section of Hematology and Oncology</w:t>
      </w:r>
    </w:p>
    <w:p w14:paraId="66E1D74E" w14:textId="77777777" w:rsidR="00901C84" w:rsidRPr="00901C84" w:rsidRDefault="00901C84" w:rsidP="00901C84">
      <w:pPr>
        <w:pStyle w:val="BodyText"/>
        <w:rPr>
          <w:rFonts w:ascii="Garamond" w:hAnsi="Garamond"/>
          <w:b w:val="0"/>
          <w:color w:val="003194"/>
          <w:sz w:val="88"/>
          <w:szCs w:val="88"/>
        </w:rPr>
      </w:pPr>
      <w:r w:rsidRPr="00901C84">
        <w:rPr>
          <w:rFonts w:ascii="Garamond" w:hAnsi="Garamond"/>
          <w:b w:val="0"/>
          <w:color w:val="003194"/>
          <w:sz w:val="88"/>
          <w:szCs w:val="88"/>
        </w:rPr>
        <w:t xml:space="preserve">Nikolai </w:t>
      </w:r>
      <w:proofErr w:type="spellStart"/>
      <w:r w:rsidRPr="00901C84">
        <w:rPr>
          <w:rFonts w:ascii="Garamond" w:hAnsi="Garamond"/>
          <w:b w:val="0"/>
          <w:color w:val="003194"/>
          <w:sz w:val="88"/>
          <w:szCs w:val="88"/>
        </w:rPr>
        <w:t>Podoltsev</w:t>
      </w:r>
      <w:proofErr w:type="spellEnd"/>
      <w:r w:rsidRPr="00901C84">
        <w:rPr>
          <w:rFonts w:ascii="Garamond" w:hAnsi="Garamond"/>
          <w:b w:val="0"/>
          <w:color w:val="003194"/>
          <w:sz w:val="88"/>
          <w:szCs w:val="88"/>
        </w:rPr>
        <w:t>, MD, PhD</w:t>
      </w:r>
    </w:p>
    <w:p w14:paraId="010DC327" w14:textId="77777777" w:rsidR="00901C84" w:rsidRPr="00901C84" w:rsidRDefault="00901C84" w:rsidP="00901C84">
      <w:pPr>
        <w:pStyle w:val="BodyText"/>
        <w:rPr>
          <w:rFonts w:ascii="Garamond" w:hAnsi="Garamond"/>
          <w:b w:val="0"/>
          <w:sz w:val="24"/>
          <w:szCs w:val="28"/>
        </w:rPr>
      </w:pPr>
      <w:r w:rsidRPr="00901C84">
        <w:rPr>
          <w:rFonts w:ascii="Garamond" w:hAnsi="Garamond"/>
          <w:b w:val="0"/>
          <w:sz w:val="24"/>
          <w:szCs w:val="28"/>
        </w:rPr>
        <w:t xml:space="preserve">      Associate Professor of Internal Medicine (Hematology); </w:t>
      </w:r>
    </w:p>
    <w:p w14:paraId="6F9EC34C" w14:textId="7A6547DB" w:rsidR="006D51F2" w:rsidRDefault="00901C84" w:rsidP="00901C84">
      <w:pPr>
        <w:pStyle w:val="BodyText"/>
        <w:rPr>
          <w:rFonts w:ascii="Garamond" w:hAnsi="Garamond"/>
          <w:b w:val="0"/>
          <w:sz w:val="24"/>
          <w:szCs w:val="28"/>
        </w:rPr>
      </w:pPr>
      <w:r w:rsidRPr="00901C84">
        <w:rPr>
          <w:rFonts w:ascii="Garamond" w:hAnsi="Garamond"/>
          <w:b w:val="0"/>
          <w:sz w:val="24"/>
          <w:szCs w:val="28"/>
        </w:rPr>
        <w:t xml:space="preserve">      Associate Director of the Hematology/Oncology Fellowship Program</w:t>
      </w:r>
    </w:p>
    <w:p w14:paraId="1A82A468" w14:textId="77777777" w:rsidR="00911CC7" w:rsidRDefault="00911CC7" w:rsidP="00901C84">
      <w:pPr>
        <w:pStyle w:val="BodyText"/>
        <w:rPr>
          <w:rFonts w:ascii="Garamond" w:hAnsi="Garamond"/>
          <w:b w:val="0"/>
          <w:sz w:val="24"/>
          <w:szCs w:val="28"/>
        </w:rPr>
      </w:pPr>
    </w:p>
    <w:p w14:paraId="64A09A0A" w14:textId="72B5ED25" w:rsidR="006D51F2" w:rsidRPr="00D56B76" w:rsidRDefault="00D56B76" w:rsidP="00224AF1">
      <w:pPr>
        <w:pStyle w:val="BodyText"/>
        <w:rPr>
          <w:rFonts w:ascii="Garamond" w:hAnsi="Garamond"/>
          <w:b w:val="0"/>
          <w:color w:val="00B050"/>
          <w:sz w:val="66"/>
          <w:szCs w:val="66"/>
        </w:rPr>
      </w:pPr>
      <w:r w:rsidRPr="00D56B76">
        <w:rPr>
          <w:rFonts w:ascii="Garamond" w:hAnsi="Garamond"/>
          <w:b w:val="0"/>
          <w:color w:val="00B050"/>
          <w:sz w:val="66"/>
          <w:szCs w:val="66"/>
        </w:rPr>
        <w:t xml:space="preserve">“Polycythemia Vera: Epidemiology, Prognosis, and Real-World Outcomes” </w:t>
      </w:r>
    </w:p>
    <w:p w14:paraId="0D782E8D" w14:textId="77777777" w:rsidR="006D51F2" w:rsidRPr="00224AF1" w:rsidRDefault="006D51F2" w:rsidP="00224AF1">
      <w:pPr>
        <w:pStyle w:val="BodyText"/>
        <w:rPr>
          <w:rFonts w:ascii="Garamond" w:hAnsi="Garamond"/>
          <w:b w:val="0"/>
          <w:sz w:val="24"/>
          <w:szCs w:val="28"/>
        </w:rPr>
      </w:pPr>
    </w:p>
    <w:p w14:paraId="519146D6" w14:textId="6CA18443" w:rsidR="000E00A4" w:rsidRPr="00F46948" w:rsidRDefault="004A3256" w:rsidP="00F46948">
      <w:pPr>
        <w:jc w:val="center"/>
        <w:rPr>
          <w:rFonts w:ascii="Garamond" w:hAnsi="Garamond"/>
          <w:b/>
        </w:rPr>
      </w:pPr>
      <w:r>
        <w:rPr>
          <w:rFonts w:ascii="Garamond" w:hAnsi="Garamond"/>
          <w:b/>
        </w:rPr>
        <w:t>Date:</w:t>
      </w:r>
      <w:r w:rsidR="00901C84">
        <w:rPr>
          <w:rFonts w:ascii="Garamond" w:hAnsi="Garamond"/>
          <w:b/>
        </w:rPr>
        <w:t xml:space="preserve"> August 20</w:t>
      </w:r>
      <w:r w:rsidR="00B343B0">
        <w:rPr>
          <w:rFonts w:ascii="Garamond" w:hAnsi="Garamond"/>
          <w:b/>
        </w:rPr>
        <w:t xml:space="preserve">, </w:t>
      </w:r>
      <w:r w:rsidR="00EC18ED">
        <w:rPr>
          <w:rFonts w:ascii="Garamond" w:hAnsi="Garamond"/>
          <w:b/>
        </w:rPr>
        <w:t>20</w:t>
      </w:r>
      <w:r w:rsidR="00723DD5">
        <w:rPr>
          <w:rFonts w:ascii="Garamond" w:hAnsi="Garamond"/>
          <w:b/>
        </w:rPr>
        <w:t>20</w:t>
      </w:r>
      <w:r w:rsidR="000E00A4" w:rsidRPr="00F46948">
        <w:rPr>
          <w:rFonts w:ascii="Garamond" w:hAnsi="Garamond"/>
          <w:b/>
        </w:rPr>
        <w:t xml:space="preserve">   Time: 8:30-9:30am</w:t>
      </w:r>
    </w:p>
    <w:p w14:paraId="2032DE42" w14:textId="2DCAC77E" w:rsidR="0009415C" w:rsidRPr="00F46948" w:rsidRDefault="000E00A4" w:rsidP="0009415C">
      <w:pPr>
        <w:jc w:val="center"/>
        <w:rPr>
          <w:rFonts w:ascii="Garamond" w:hAnsi="Garamond"/>
          <w:b/>
        </w:rPr>
      </w:pPr>
      <w:r w:rsidRPr="00F46948">
        <w:rPr>
          <w:rFonts w:ascii="Garamond" w:hAnsi="Garamond"/>
          <w:b/>
        </w:rPr>
        <w:t>Location:</w:t>
      </w:r>
      <w:r w:rsidR="0009415C" w:rsidRPr="0009415C">
        <w:t xml:space="preserve"> </w:t>
      </w:r>
      <w:hyperlink r:id="rId8" w:history="1">
        <w:r w:rsidR="0009415C" w:rsidRPr="006078FE">
          <w:rPr>
            <w:rStyle w:val="Hyperlink"/>
            <w:rFonts w:ascii="Garamond" w:hAnsi="Garamond"/>
            <w:b/>
          </w:rPr>
          <w:t>https://zoom.us/j/94896766303?pwd=UWFrcG9GNXMvcWZ3YU4ycUc5VEVSdz09</w:t>
        </w:r>
      </w:hyperlink>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2E0317D8" w14:textId="1251B4CF" w:rsidR="00DD2BF3" w:rsidRDefault="00911CC7" w:rsidP="001B6215">
      <w:pPr>
        <w:jc w:val="both"/>
        <w:rPr>
          <w:rFonts w:ascii="Garamond" w:hAnsi="Garamond"/>
          <w:sz w:val="20"/>
          <w:szCs w:val="20"/>
        </w:rPr>
      </w:pPr>
      <w:r w:rsidRPr="00911CC7">
        <w:rPr>
          <w:rFonts w:ascii="Garamond" w:hAnsi="Garamond"/>
          <w:sz w:val="20"/>
          <w:szCs w:val="20"/>
        </w:rPr>
        <w:t xml:space="preserve">Polycythemia </w:t>
      </w:r>
      <w:proofErr w:type="spellStart"/>
      <w:r w:rsidRPr="00911CC7">
        <w:rPr>
          <w:rFonts w:ascii="Garamond" w:hAnsi="Garamond"/>
          <w:sz w:val="20"/>
          <w:szCs w:val="20"/>
        </w:rPr>
        <w:t>vera</w:t>
      </w:r>
      <w:proofErr w:type="spellEnd"/>
      <w:r w:rsidRPr="00911CC7">
        <w:rPr>
          <w:rFonts w:ascii="Garamond" w:hAnsi="Garamond"/>
          <w:sz w:val="20"/>
          <w:szCs w:val="20"/>
        </w:rPr>
        <w:t xml:space="preserve"> is a chronic myeloproliferative neoplasm characterized by increased red blood cell mass. Clinicians need to know about the diagnostic criteria, epidemiology, pathogenesis, management options, and outcomes of this blood disorder.</w:t>
      </w:r>
    </w:p>
    <w:p w14:paraId="639230C1" w14:textId="77777777" w:rsidR="00911CC7" w:rsidRPr="00C61164" w:rsidRDefault="00911CC7" w:rsidP="001B6215">
      <w:pPr>
        <w:jc w:val="both"/>
        <w:rPr>
          <w:rFonts w:ascii="Garamond" w:hAnsi="Garamond"/>
          <w:sz w:val="20"/>
          <w:szCs w:val="20"/>
        </w:rPr>
      </w:pPr>
    </w:p>
    <w:p w14:paraId="47B67410" w14:textId="7E2CE472" w:rsidR="00DD2BF3" w:rsidRPr="00D56B76" w:rsidRDefault="00DD2BF3" w:rsidP="001B6215">
      <w:pPr>
        <w:jc w:val="both"/>
        <w:rPr>
          <w:rFonts w:ascii="Garamond" w:hAnsi="Garamond"/>
          <w:b/>
          <w:sz w:val="20"/>
          <w:szCs w:val="20"/>
          <w:u w:val="single"/>
        </w:rPr>
      </w:pPr>
      <w:r w:rsidRPr="00D56B76">
        <w:rPr>
          <w:rFonts w:ascii="Garamond" w:hAnsi="Garamond"/>
          <w:b/>
          <w:sz w:val="20"/>
          <w:szCs w:val="20"/>
          <w:u w:val="single"/>
        </w:rPr>
        <w:t>LEARNING OBJECTIVES</w:t>
      </w:r>
      <w:r w:rsidR="00841EE6" w:rsidRPr="00D56B76">
        <w:rPr>
          <w:rFonts w:ascii="Garamond" w:hAnsi="Garamond"/>
          <w:b/>
          <w:sz w:val="20"/>
          <w:szCs w:val="20"/>
          <w:u w:val="single"/>
        </w:rPr>
        <w:t>:</w:t>
      </w:r>
    </w:p>
    <w:p w14:paraId="352454B2" w14:textId="301D4608" w:rsidR="000E00A4" w:rsidRDefault="00D56B76" w:rsidP="00D56B76">
      <w:pPr>
        <w:pStyle w:val="ListParagraph"/>
        <w:numPr>
          <w:ilvl w:val="0"/>
          <w:numId w:val="5"/>
        </w:numPr>
        <w:jc w:val="both"/>
        <w:rPr>
          <w:rFonts w:ascii="Garamond" w:hAnsi="Garamond"/>
          <w:bCs/>
          <w:sz w:val="20"/>
          <w:szCs w:val="20"/>
        </w:rPr>
      </w:pPr>
      <w:r w:rsidRPr="00D56B76">
        <w:rPr>
          <w:rFonts w:ascii="Garamond" w:hAnsi="Garamond"/>
          <w:bCs/>
          <w:sz w:val="20"/>
          <w:szCs w:val="20"/>
        </w:rPr>
        <w:t>Know</w:t>
      </w:r>
      <w:r>
        <w:rPr>
          <w:rFonts w:ascii="Garamond" w:hAnsi="Garamond"/>
          <w:bCs/>
          <w:sz w:val="20"/>
          <w:szCs w:val="20"/>
        </w:rPr>
        <w:t xml:space="preserve"> </w:t>
      </w:r>
      <w:r w:rsidRPr="00D56B76">
        <w:rPr>
          <w:rFonts w:ascii="Garamond" w:hAnsi="Garamond"/>
          <w:bCs/>
          <w:sz w:val="20"/>
          <w:szCs w:val="20"/>
        </w:rPr>
        <w:t>the diagnostic</w:t>
      </w:r>
      <w:r>
        <w:rPr>
          <w:rFonts w:ascii="Garamond" w:hAnsi="Garamond"/>
          <w:bCs/>
          <w:sz w:val="20"/>
          <w:szCs w:val="20"/>
        </w:rPr>
        <w:t xml:space="preserve"> criteria of polycythemia </w:t>
      </w:r>
      <w:proofErr w:type="spellStart"/>
      <w:r>
        <w:rPr>
          <w:rFonts w:ascii="Garamond" w:hAnsi="Garamond"/>
          <w:bCs/>
          <w:sz w:val="20"/>
          <w:szCs w:val="20"/>
        </w:rPr>
        <w:t>vera</w:t>
      </w:r>
      <w:proofErr w:type="spellEnd"/>
      <w:r>
        <w:rPr>
          <w:rFonts w:ascii="Garamond" w:hAnsi="Garamond"/>
          <w:bCs/>
          <w:sz w:val="20"/>
          <w:szCs w:val="20"/>
        </w:rPr>
        <w:t>, (PV), it’s epidemiology and pathogenesis</w:t>
      </w:r>
    </w:p>
    <w:p w14:paraId="6E147041" w14:textId="42D39A7F" w:rsidR="00D56B76" w:rsidRDefault="00D56B76" w:rsidP="00D56B76">
      <w:pPr>
        <w:pStyle w:val="ListParagraph"/>
        <w:numPr>
          <w:ilvl w:val="0"/>
          <w:numId w:val="5"/>
        </w:numPr>
        <w:jc w:val="both"/>
        <w:rPr>
          <w:rFonts w:ascii="Garamond" w:hAnsi="Garamond"/>
          <w:bCs/>
          <w:sz w:val="20"/>
          <w:szCs w:val="20"/>
        </w:rPr>
      </w:pPr>
      <w:r>
        <w:rPr>
          <w:rFonts w:ascii="Garamond" w:hAnsi="Garamond"/>
          <w:bCs/>
          <w:sz w:val="20"/>
          <w:szCs w:val="20"/>
        </w:rPr>
        <w:t>Learn the approach to patients with erythrocytosis, PV risk stratification and complications</w:t>
      </w:r>
    </w:p>
    <w:p w14:paraId="4ADAE429" w14:textId="71B7916F" w:rsidR="00D56B76" w:rsidRPr="00D56B76" w:rsidRDefault="00D56B76" w:rsidP="00D56B76">
      <w:pPr>
        <w:pStyle w:val="ListParagraph"/>
        <w:numPr>
          <w:ilvl w:val="0"/>
          <w:numId w:val="5"/>
        </w:numPr>
        <w:jc w:val="both"/>
        <w:rPr>
          <w:rFonts w:ascii="Garamond" w:hAnsi="Garamond"/>
          <w:bCs/>
          <w:sz w:val="20"/>
          <w:szCs w:val="20"/>
        </w:rPr>
      </w:pPr>
      <w:r>
        <w:rPr>
          <w:rFonts w:ascii="Garamond" w:hAnsi="Garamond"/>
          <w:bCs/>
          <w:sz w:val="20"/>
          <w:szCs w:val="20"/>
        </w:rPr>
        <w:t>Understand current management options including cytoreductive therapies and real-world outcomes</w:t>
      </w:r>
    </w:p>
    <w:p w14:paraId="4D07E66D" w14:textId="77777777" w:rsidR="00F46948" w:rsidRPr="00C61164" w:rsidRDefault="00F46948" w:rsidP="00DD2BF3">
      <w:pPr>
        <w:rPr>
          <w:rFonts w:ascii="Garamond" w:hAnsi="Garamond"/>
          <w:b/>
          <w:sz w:val="20"/>
          <w:szCs w:val="20"/>
          <w:u w:val="single"/>
        </w:rPr>
      </w:pPr>
    </w:p>
    <w:p w14:paraId="6BC12423" w14:textId="77777777" w:rsidR="00372998" w:rsidRPr="00C61164" w:rsidRDefault="00372998" w:rsidP="00DD2BF3">
      <w:pPr>
        <w:rPr>
          <w:rFonts w:ascii="Garamond" w:hAnsi="Garamond"/>
          <w:b/>
          <w:sz w:val="20"/>
          <w:szCs w:val="20"/>
          <w:u w:val="single"/>
        </w:rPr>
      </w:pPr>
    </w:p>
    <w:p w14:paraId="6B94370B" w14:textId="77777777" w:rsidR="00372998" w:rsidRPr="00C61164" w:rsidRDefault="00372998" w:rsidP="00DD2BF3">
      <w:pPr>
        <w:rPr>
          <w:rFonts w:ascii="Garamond" w:hAnsi="Garamond"/>
          <w:b/>
          <w:sz w:val="20"/>
          <w:szCs w:val="20"/>
          <w:u w:val="single"/>
        </w:rPr>
      </w:pPr>
    </w:p>
    <w:p w14:paraId="79321B20" w14:textId="77777777" w:rsidR="00047E71" w:rsidRPr="00C61164" w:rsidRDefault="00047E71" w:rsidP="00DD2BF3">
      <w:pPr>
        <w:rPr>
          <w:rFonts w:ascii="Garamond" w:hAnsi="Garamond"/>
          <w:b/>
          <w:sz w:val="20"/>
          <w:szCs w:val="20"/>
          <w:u w:val="single"/>
        </w:rPr>
      </w:pPr>
    </w:p>
    <w:p w14:paraId="124795BC" w14:textId="77777777" w:rsidR="00047E71" w:rsidRPr="00C61164" w:rsidRDefault="00047E71" w:rsidP="00DD2BF3">
      <w:pPr>
        <w:rPr>
          <w:rFonts w:ascii="Garamond" w:hAnsi="Garamond"/>
          <w:b/>
          <w:sz w:val="20"/>
          <w:szCs w:val="20"/>
          <w:u w:val="single"/>
        </w:rPr>
      </w:pPr>
    </w:p>
    <w:p w14:paraId="5F48118E" w14:textId="77777777" w:rsidR="00047E71" w:rsidRPr="00C61164" w:rsidRDefault="00047E71" w:rsidP="00DD2BF3">
      <w:pPr>
        <w:rPr>
          <w:rFonts w:ascii="Garamond" w:hAnsi="Garamond"/>
          <w:b/>
          <w:sz w:val="20"/>
          <w:szCs w:val="20"/>
          <w:u w:val="single"/>
        </w:rPr>
      </w:pPr>
    </w:p>
    <w:p w14:paraId="7B7A357A" w14:textId="77777777" w:rsidR="00D10323" w:rsidRDefault="00D10323" w:rsidP="001B6215">
      <w:pPr>
        <w:jc w:val="both"/>
        <w:rPr>
          <w:rFonts w:ascii="Garamond" w:hAnsi="Garamond"/>
          <w:b/>
          <w:sz w:val="20"/>
          <w:szCs w:val="20"/>
          <w:u w:val="single"/>
        </w:rPr>
      </w:pPr>
    </w:p>
    <w:p w14:paraId="1D56F6F4" w14:textId="3ACD9281"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02A0D654" w14:textId="77777777" w:rsidR="00D10323" w:rsidRDefault="00D10323" w:rsidP="001B6215">
      <w:pPr>
        <w:jc w:val="both"/>
        <w:rPr>
          <w:rFonts w:ascii="Garamond" w:hAnsi="Garamond"/>
          <w:b/>
          <w:sz w:val="20"/>
          <w:szCs w:val="20"/>
          <w:u w:val="single"/>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1497EAAE" w14:textId="77777777" w:rsidR="00D56B76" w:rsidRDefault="00766FCD" w:rsidP="001B6215">
      <w:pPr>
        <w:jc w:val="both"/>
        <w:rPr>
          <w:rFonts w:ascii="Garamond" w:hAnsi="Garamond"/>
          <w:sz w:val="20"/>
          <w:szCs w:val="20"/>
        </w:rPr>
      </w:pPr>
      <w:r>
        <w:rPr>
          <w:rFonts w:ascii="Garamond" w:hAnsi="Garamond"/>
          <w:sz w:val="20"/>
          <w:szCs w:val="20"/>
        </w:rPr>
        <w:t xml:space="preserve">Speaker: </w:t>
      </w:r>
      <w:r w:rsidR="00901C84">
        <w:rPr>
          <w:rFonts w:ascii="Garamond" w:hAnsi="Garamond"/>
          <w:sz w:val="20"/>
          <w:szCs w:val="20"/>
        </w:rPr>
        <w:t xml:space="preserve">Nikolai </w:t>
      </w:r>
      <w:proofErr w:type="spellStart"/>
      <w:r w:rsidR="00901C84">
        <w:rPr>
          <w:rFonts w:ascii="Garamond" w:hAnsi="Garamond"/>
          <w:sz w:val="20"/>
          <w:szCs w:val="20"/>
        </w:rPr>
        <w:t>Podolstev</w:t>
      </w:r>
      <w:proofErr w:type="spellEnd"/>
      <w:r w:rsidR="00901C84">
        <w:rPr>
          <w:rFonts w:ascii="Garamond" w:hAnsi="Garamond"/>
          <w:sz w:val="20"/>
          <w:szCs w:val="20"/>
        </w:rPr>
        <w:t>, MD, PhD</w:t>
      </w:r>
      <w:r w:rsidR="00083B57">
        <w:rPr>
          <w:rFonts w:ascii="Garamond" w:hAnsi="Garamond"/>
          <w:sz w:val="20"/>
          <w:szCs w:val="20"/>
        </w:rPr>
        <w:t>-</w:t>
      </w:r>
      <w:r w:rsidR="00224AF1">
        <w:rPr>
          <w:rFonts w:ascii="Garamond" w:hAnsi="Garamond"/>
          <w:sz w:val="20"/>
          <w:szCs w:val="20"/>
        </w:rPr>
        <w:t xml:space="preserve"> </w:t>
      </w:r>
    </w:p>
    <w:p w14:paraId="3041912D" w14:textId="3E9554D8" w:rsidR="005A7B39" w:rsidRDefault="00D56B76" w:rsidP="001B6215">
      <w:pPr>
        <w:jc w:val="both"/>
        <w:rPr>
          <w:rFonts w:ascii="Garamond" w:hAnsi="Garamond"/>
          <w:sz w:val="20"/>
          <w:szCs w:val="20"/>
        </w:rPr>
      </w:pPr>
      <w:proofErr w:type="spellStart"/>
      <w:r>
        <w:rPr>
          <w:rFonts w:ascii="Garamond" w:hAnsi="Garamond"/>
          <w:sz w:val="20"/>
          <w:szCs w:val="20"/>
        </w:rPr>
        <w:t>PharmaEssentia</w:t>
      </w:r>
      <w:proofErr w:type="spellEnd"/>
      <w:r>
        <w:rPr>
          <w:rFonts w:ascii="Garamond" w:hAnsi="Garamond"/>
          <w:sz w:val="20"/>
          <w:szCs w:val="20"/>
        </w:rPr>
        <w:t>; Honorarium; Scientific Advisory Board</w:t>
      </w:r>
    </w:p>
    <w:p w14:paraId="01E4A648" w14:textId="6BA7DDDD" w:rsidR="00D56B76" w:rsidRDefault="00D56B76" w:rsidP="001B6215">
      <w:pPr>
        <w:jc w:val="both"/>
        <w:rPr>
          <w:rFonts w:ascii="Garamond" w:hAnsi="Garamond"/>
          <w:sz w:val="20"/>
          <w:szCs w:val="20"/>
        </w:rPr>
      </w:pPr>
      <w:r>
        <w:rPr>
          <w:rFonts w:ascii="Garamond" w:hAnsi="Garamond"/>
          <w:sz w:val="20"/>
          <w:szCs w:val="20"/>
        </w:rPr>
        <w:t xml:space="preserve">CTI </w:t>
      </w:r>
      <w:proofErr w:type="spellStart"/>
      <w:r>
        <w:rPr>
          <w:rFonts w:ascii="Garamond" w:hAnsi="Garamond"/>
          <w:sz w:val="20"/>
          <w:szCs w:val="20"/>
        </w:rPr>
        <w:t>BioPharma</w:t>
      </w:r>
      <w:proofErr w:type="spellEnd"/>
      <w:r>
        <w:rPr>
          <w:rFonts w:ascii="Garamond" w:hAnsi="Garamond"/>
          <w:sz w:val="20"/>
          <w:szCs w:val="20"/>
        </w:rPr>
        <w:t>; Honorarium; Scientific Advisory Board</w:t>
      </w:r>
    </w:p>
    <w:p w14:paraId="754D6BFB" w14:textId="0119C95C" w:rsidR="00D56B76" w:rsidRDefault="00D56B76" w:rsidP="001B6215">
      <w:pPr>
        <w:jc w:val="both"/>
        <w:rPr>
          <w:rFonts w:ascii="Garamond" w:hAnsi="Garamond"/>
          <w:sz w:val="20"/>
          <w:szCs w:val="20"/>
        </w:rPr>
      </w:pPr>
      <w:r>
        <w:rPr>
          <w:rFonts w:ascii="Garamond" w:hAnsi="Garamond"/>
          <w:sz w:val="20"/>
          <w:szCs w:val="20"/>
        </w:rPr>
        <w:t>Bristol-Myers- Squib; Honorarium; Scientific Advisory Board</w:t>
      </w:r>
    </w:p>
    <w:p w14:paraId="554E796E" w14:textId="2B3CB7C4" w:rsidR="00D56B76" w:rsidRDefault="00D56B76" w:rsidP="001B6215">
      <w:pPr>
        <w:jc w:val="both"/>
        <w:rPr>
          <w:rFonts w:ascii="Garamond" w:hAnsi="Garamond"/>
          <w:sz w:val="20"/>
          <w:szCs w:val="20"/>
        </w:rPr>
      </w:pPr>
      <w:r>
        <w:rPr>
          <w:rFonts w:ascii="Garamond" w:hAnsi="Garamond"/>
          <w:sz w:val="20"/>
          <w:szCs w:val="20"/>
        </w:rPr>
        <w:t>Celgene; Consulting fee; Consulting</w:t>
      </w:r>
    </w:p>
    <w:p w14:paraId="5362A50E" w14:textId="77F072AD" w:rsidR="00D56B76" w:rsidRDefault="00D56B76" w:rsidP="001B6215">
      <w:pPr>
        <w:jc w:val="both"/>
        <w:rPr>
          <w:rFonts w:ascii="Garamond" w:hAnsi="Garamond"/>
          <w:sz w:val="20"/>
          <w:szCs w:val="20"/>
        </w:rPr>
      </w:pPr>
      <w:r>
        <w:rPr>
          <w:rFonts w:ascii="Garamond" w:hAnsi="Garamond"/>
          <w:sz w:val="20"/>
          <w:szCs w:val="20"/>
        </w:rPr>
        <w:t>Novartis; Honorarium; Scientific Advisory Board</w:t>
      </w:r>
    </w:p>
    <w:p w14:paraId="5E6C51BB" w14:textId="77777777" w:rsidR="00D56B76" w:rsidRPr="00C61164" w:rsidRDefault="00D56B76" w:rsidP="001B6215">
      <w:pPr>
        <w:jc w:val="both"/>
        <w:rPr>
          <w:rFonts w:ascii="Garamond" w:hAnsi="Garamond"/>
          <w:sz w:val="20"/>
          <w:szCs w:val="20"/>
        </w:rPr>
      </w:pPr>
    </w:p>
    <w:p w14:paraId="36A22B3B" w14:textId="3F936FE4" w:rsidR="00C56D8A" w:rsidRDefault="00DD2BF3" w:rsidP="001B6215">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163846D0" w14:textId="080149E5" w:rsidR="0014523F" w:rsidRDefault="0014523F" w:rsidP="001B6215">
      <w:pPr>
        <w:jc w:val="both"/>
        <w:rPr>
          <w:rFonts w:ascii="Garamond" w:hAnsi="Garamond"/>
          <w:sz w:val="20"/>
          <w:szCs w:val="20"/>
        </w:rPr>
      </w:pPr>
    </w:p>
    <w:p w14:paraId="6D48FB7E" w14:textId="256C1E53" w:rsidR="0014523F" w:rsidRPr="0014523F" w:rsidRDefault="0014523F" w:rsidP="0014523F">
      <w:pPr>
        <w:jc w:val="both"/>
        <w:rPr>
          <w:rFonts w:ascii="Garamond" w:hAnsi="Garamond"/>
          <w:sz w:val="20"/>
          <w:szCs w:val="20"/>
        </w:rPr>
      </w:pP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F6415" w14:textId="77777777" w:rsidR="004F09F2" w:rsidRDefault="004F09F2" w:rsidP="00C56D8A">
      <w:r>
        <w:separator/>
      </w:r>
    </w:p>
  </w:endnote>
  <w:endnote w:type="continuationSeparator" w:id="0">
    <w:p w14:paraId="421AD664" w14:textId="77777777" w:rsidR="004F09F2" w:rsidRDefault="004F09F2"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7B07F" w14:textId="77777777" w:rsidR="004F09F2" w:rsidRDefault="004F09F2" w:rsidP="00C56D8A">
      <w:r>
        <w:separator/>
      </w:r>
    </w:p>
  </w:footnote>
  <w:footnote w:type="continuationSeparator" w:id="0">
    <w:p w14:paraId="55CBB4EB" w14:textId="77777777" w:rsidR="004F09F2" w:rsidRDefault="004F09F2"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BF41BFF"/>
    <w:multiLevelType w:val="hybridMultilevel"/>
    <w:tmpl w:val="72AE05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70439"/>
    <w:rsid w:val="00070DD8"/>
    <w:rsid w:val="00081D9A"/>
    <w:rsid w:val="00083B57"/>
    <w:rsid w:val="000938C1"/>
    <w:rsid w:val="0009415C"/>
    <w:rsid w:val="000A6118"/>
    <w:rsid w:val="000A6220"/>
    <w:rsid w:val="000B2299"/>
    <w:rsid w:val="000C6878"/>
    <w:rsid w:val="000D52F2"/>
    <w:rsid w:val="000D6DF2"/>
    <w:rsid w:val="000E00A4"/>
    <w:rsid w:val="000E7D22"/>
    <w:rsid w:val="001216CB"/>
    <w:rsid w:val="001432B7"/>
    <w:rsid w:val="0014523F"/>
    <w:rsid w:val="00167417"/>
    <w:rsid w:val="00197EC6"/>
    <w:rsid w:val="001B4B85"/>
    <w:rsid w:val="001B6215"/>
    <w:rsid w:val="001C5C49"/>
    <w:rsid w:val="001E4EB0"/>
    <w:rsid w:val="00207B34"/>
    <w:rsid w:val="00224AF1"/>
    <w:rsid w:val="00263DA5"/>
    <w:rsid w:val="00274DBF"/>
    <w:rsid w:val="002834B8"/>
    <w:rsid w:val="002A0E2E"/>
    <w:rsid w:val="002C3259"/>
    <w:rsid w:val="003206A1"/>
    <w:rsid w:val="00371900"/>
    <w:rsid w:val="00372998"/>
    <w:rsid w:val="003841BE"/>
    <w:rsid w:val="00386D2B"/>
    <w:rsid w:val="00391279"/>
    <w:rsid w:val="003943F5"/>
    <w:rsid w:val="003C31D5"/>
    <w:rsid w:val="003C538E"/>
    <w:rsid w:val="003D4BC1"/>
    <w:rsid w:val="00456098"/>
    <w:rsid w:val="00466BA1"/>
    <w:rsid w:val="00472605"/>
    <w:rsid w:val="00481F88"/>
    <w:rsid w:val="004A3256"/>
    <w:rsid w:val="004B7394"/>
    <w:rsid w:val="004D0CDB"/>
    <w:rsid w:val="004D0E78"/>
    <w:rsid w:val="004F09F2"/>
    <w:rsid w:val="00504AC5"/>
    <w:rsid w:val="00556381"/>
    <w:rsid w:val="005876B3"/>
    <w:rsid w:val="005A7B39"/>
    <w:rsid w:val="005C628E"/>
    <w:rsid w:val="006346C1"/>
    <w:rsid w:val="0064239A"/>
    <w:rsid w:val="00677794"/>
    <w:rsid w:val="006D51F2"/>
    <w:rsid w:val="00711E95"/>
    <w:rsid w:val="00723DD5"/>
    <w:rsid w:val="00745D86"/>
    <w:rsid w:val="00763E1A"/>
    <w:rsid w:val="00766FCD"/>
    <w:rsid w:val="0077143C"/>
    <w:rsid w:val="007768A6"/>
    <w:rsid w:val="00796C70"/>
    <w:rsid w:val="007A7132"/>
    <w:rsid w:val="007C6AD7"/>
    <w:rsid w:val="007C6DFB"/>
    <w:rsid w:val="007D32D5"/>
    <w:rsid w:val="007D48BC"/>
    <w:rsid w:val="007F5064"/>
    <w:rsid w:val="007F6B0F"/>
    <w:rsid w:val="008200E1"/>
    <w:rsid w:val="00841EE6"/>
    <w:rsid w:val="00853985"/>
    <w:rsid w:val="00866F4A"/>
    <w:rsid w:val="0086761B"/>
    <w:rsid w:val="00867F8E"/>
    <w:rsid w:val="008D318D"/>
    <w:rsid w:val="00901C84"/>
    <w:rsid w:val="00911CC7"/>
    <w:rsid w:val="009253CB"/>
    <w:rsid w:val="00935EF4"/>
    <w:rsid w:val="00941C2E"/>
    <w:rsid w:val="00954871"/>
    <w:rsid w:val="009C79AA"/>
    <w:rsid w:val="009D487C"/>
    <w:rsid w:val="009E57E2"/>
    <w:rsid w:val="00A46992"/>
    <w:rsid w:val="00A956FB"/>
    <w:rsid w:val="00AD5711"/>
    <w:rsid w:val="00AE26F0"/>
    <w:rsid w:val="00B343B0"/>
    <w:rsid w:val="00B474CF"/>
    <w:rsid w:val="00B83336"/>
    <w:rsid w:val="00B94053"/>
    <w:rsid w:val="00BA18E4"/>
    <w:rsid w:val="00BA1C9E"/>
    <w:rsid w:val="00C10080"/>
    <w:rsid w:val="00C10BFA"/>
    <w:rsid w:val="00C11A1C"/>
    <w:rsid w:val="00C41B5F"/>
    <w:rsid w:val="00C44658"/>
    <w:rsid w:val="00C45D58"/>
    <w:rsid w:val="00C467AF"/>
    <w:rsid w:val="00C55839"/>
    <w:rsid w:val="00C56D8A"/>
    <w:rsid w:val="00C61164"/>
    <w:rsid w:val="00CA01C3"/>
    <w:rsid w:val="00CB646D"/>
    <w:rsid w:val="00CF391D"/>
    <w:rsid w:val="00D100AA"/>
    <w:rsid w:val="00D10323"/>
    <w:rsid w:val="00D1124B"/>
    <w:rsid w:val="00D418C8"/>
    <w:rsid w:val="00D4600A"/>
    <w:rsid w:val="00D56B76"/>
    <w:rsid w:val="00D74FCC"/>
    <w:rsid w:val="00DD2BF3"/>
    <w:rsid w:val="00E65180"/>
    <w:rsid w:val="00E94611"/>
    <w:rsid w:val="00EA471E"/>
    <w:rsid w:val="00EB6641"/>
    <w:rsid w:val="00EC0BFF"/>
    <w:rsid w:val="00EC18ED"/>
    <w:rsid w:val="00F00BB9"/>
    <w:rsid w:val="00F125B9"/>
    <w:rsid w:val="00F46948"/>
    <w:rsid w:val="00F747AA"/>
    <w:rsid w:val="00F75FDE"/>
    <w:rsid w:val="00FA6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504AC5"/>
    <w:rPr>
      <w:color w:val="0563C1" w:themeColor="hyperlink"/>
      <w:u w:val="single"/>
    </w:rPr>
  </w:style>
  <w:style w:type="character" w:styleId="UnresolvedMention">
    <w:name w:val="Unresolved Mention"/>
    <w:basedOn w:val="DefaultParagraphFont"/>
    <w:uiPriority w:val="99"/>
    <w:rsid w:val="00094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18478">
      <w:bodyDiv w:val="1"/>
      <w:marLeft w:val="0"/>
      <w:marRight w:val="0"/>
      <w:marTop w:val="0"/>
      <w:marBottom w:val="0"/>
      <w:divBdr>
        <w:top w:val="none" w:sz="0" w:space="0" w:color="auto"/>
        <w:left w:val="none" w:sz="0" w:space="0" w:color="auto"/>
        <w:bottom w:val="none" w:sz="0" w:space="0" w:color="auto"/>
        <w:right w:val="none" w:sz="0" w:space="0" w:color="auto"/>
      </w:divBdr>
      <w:divsChild>
        <w:div w:id="1836871501">
          <w:marLeft w:val="0"/>
          <w:marRight w:val="0"/>
          <w:marTop w:val="0"/>
          <w:marBottom w:val="0"/>
          <w:divBdr>
            <w:top w:val="none" w:sz="0" w:space="0" w:color="auto"/>
            <w:left w:val="none" w:sz="0" w:space="0" w:color="auto"/>
            <w:bottom w:val="none" w:sz="0" w:space="0" w:color="auto"/>
            <w:right w:val="none" w:sz="0" w:space="0" w:color="auto"/>
          </w:divBdr>
          <w:divsChild>
            <w:div w:id="1553350079">
              <w:marLeft w:val="0"/>
              <w:marRight w:val="0"/>
              <w:marTop w:val="0"/>
              <w:marBottom w:val="0"/>
              <w:divBdr>
                <w:top w:val="none" w:sz="0" w:space="0" w:color="auto"/>
                <w:left w:val="none" w:sz="0" w:space="0" w:color="auto"/>
                <w:bottom w:val="none" w:sz="0" w:space="0" w:color="auto"/>
                <w:right w:val="none" w:sz="0" w:space="0" w:color="auto"/>
              </w:divBdr>
              <w:divsChild>
                <w:div w:id="1145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71945">
      <w:bodyDiv w:val="1"/>
      <w:marLeft w:val="0"/>
      <w:marRight w:val="0"/>
      <w:marTop w:val="0"/>
      <w:marBottom w:val="0"/>
      <w:divBdr>
        <w:top w:val="none" w:sz="0" w:space="0" w:color="auto"/>
        <w:left w:val="none" w:sz="0" w:space="0" w:color="auto"/>
        <w:bottom w:val="none" w:sz="0" w:space="0" w:color="auto"/>
        <w:right w:val="none" w:sz="0" w:space="0" w:color="auto"/>
      </w:divBdr>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7</cp:revision>
  <cp:lastPrinted>2016-05-13T15:17:00Z</cp:lastPrinted>
  <dcterms:created xsi:type="dcterms:W3CDTF">2020-06-24T14:26:00Z</dcterms:created>
  <dcterms:modified xsi:type="dcterms:W3CDTF">2020-07-14T18:26:00Z</dcterms:modified>
</cp:coreProperties>
</file>