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A430" w14:textId="77777777" w:rsidR="00C24E8A" w:rsidRDefault="00C24E8A" w:rsidP="00294073">
      <w:pPr>
        <w:pStyle w:val="granted"/>
        <w:ind w:left="2160" w:firstLine="720"/>
        <w:jc w:val="center"/>
        <w:rPr>
          <w:rFonts w:ascii="Arial" w:hAnsi="Arial" w:cs="Arial"/>
          <w:b/>
          <w:bCs/>
          <w:noProof/>
          <w:color w:val="08B5E2"/>
          <w:sz w:val="24"/>
          <w:szCs w:val="24"/>
        </w:rPr>
      </w:pPr>
    </w:p>
    <w:p w14:paraId="35AF9196" w14:textId="747EBC65" w:rsidR="002F5CD3" w:rsidRPr="0023317D" w:rsidRDefault="00C07CCC" w:rsidP="00C264F7">
      <w:pPr>
        <w:pStyle w:val="granted"/>
        <w:spacing w:before="0" w:beforeAutospacing="0" w:after="0" w:afterAutospacing="0"/>
        <w:ind w:right="-27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Yale 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GIM </w:t>
      </w:r>
      <w:r w:rsidR="00AC2C00" w:rsidRPr="00306ADE">
        <w:rPr>
          <w:rFonts w:ascii="Arial" w:hAnsi="Arial" w:cs="Arial"/>
          <w:b/>
          <w:bCs/>
          <w:noProof/>
          <w:color w:val="00B0F0"/>
          <w:sz w:val="24"/>
          <w:szCs w:val="24"/>
        </w:rPr>
        <w:t>“</w:t>
      </w:r>
      <w:r w:rsidR="00F3719D" w:rsidRPr="00306ADE">
        <w:rPr>
          <w:rFonts w:ascii="Arial" w:hAnsi="Arial" w:cs="Arial"/>
          <w:b/>
          <w:bCs/>
          <w:noProof/>
          <w:color w:val="00B0F0"/>
          <w:sz w:val="24"/>
          <w:szCs w:val="24"/>
        </w:rPr>
        <w:t>Educational Strategies &amp; Faculty Development</w:t>
      </w:r>
      <w:r w:rsidR="00AC2C00" w:rsidRPr="00306ADE">
        <w:rPr>
          <w:rFonts w:ascii="Arial" w:hAnsi="Arial" w:cs="Arial"/>
          <w:b/>
          <w:bCs/>
          <w:noProof/>
          <w:color w:val="00B0F0"/>
          <w:sz w:val="24"/>
          <w:szCs w:val="24"/>
        </w:rPr>
        <w:t>”</w:t>
      </w:r>
      <w:r w:rsidR="00F3719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Meeting</w:t>
      </w:r>
    </w:p>
    <w:p w14:paraId="2B70E995" w14:textId="544B0F85" w:rsidR="002F5CD3" w:rsidRPr="0023317D" w:rsidRDefault="002F5CD3" w:rsidP="00C264F7">
      <w:pPr>
        <w:pStyle w:val="granted"/>
        <w:spacing w:before="0" w:beforeAutospacing="0" w:after="0" w:afterAutospacing="0"/>
        <w:ind w:right="-270"/>
        <w:jc w:val="center"/>
        <w:rPr>
          <w:rFonts w:ascii="Arial" w:hAnsi="Arial" w:cs="Arial"/>
          <w:b/>
          <w:bCs/>
          <w:noProof/>
          <w:color w:val="00B0F0"/>
          <w:sz w:val="20"/>
          <w:szCs w:val="20"/>
        </w:rPr>
      </w:pPr>
      <w:r w:rsidRPr="0023317D">
        <w:rPr>
          <w:rFonts w:ascii="Arial" w:hAnsi="Arial" w:cs="Arial"/>
          <w:b/>
          <w:bCs/>
          <w:noProof/>
          <w:color w:val="00B0F0"/>
          <w:sz w:val="20"/>
          <w:szCs w:val="20"/>
        </w:rPr>
        <w:t>Presented by</w:t>
      </w:r>
    </w:p>
    <w:p w14:paraId="79C43A45" w14:textId="77777777" w:rsidR="002F5CD3" w:rsidRPr="0023317D" w:rsidRDefault="002F5CD3" w:rsidP="00C264F7">
      <w:pPr>
        <w:pStyle w:val="granted"/>
        <w:spacing w:before="0" w:beforeAutospacing="0" w:after="0" w:afterAutospacing="0"/>
        <w:ind w:right="-27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Yale School of Medicine’s Department of Internal Medicine</w:t>
      </w:r>
    </w:p>
    <w:p w14:paraId="393D6E88" w14:textId="17D595A8" w:rsidR="0084238D" w:rsidRPr="002F5CD3" w:rsidRDefault="002F5CD3" w:rsidP="00C264F7">
      <w:pPr>
        <w:pStyle w:val="granted"/>
        <w:spacing w:before="0" w:beforeAutospacing="0" w:after="0" w:afterAutospacing="0"/>
        <w:ind w:right="-270"/>
        <w:jc w:val="center"/>
        <w:rPr>
          <w:rFonts w:ascii="Arial" w:hAnsi="Arial" w:cs="Arial"/>
          <w:b/>
          <w:bCs/>
          <w:color w:val="08B5E2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Section of General</w:t>
      </w:r>
      <w:r w:rsidR="00C07CCC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Internal</w:t>
      </w: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Medicine</w:t>
      </w:r>
    </w:p>
    <w:p w14:paraId="7C2263C3" w14:textId="77777777" w:rsidR="00BC4983" w:rsidRDefault="00BC4983" w:rsidP="00BC4983">
      <w:pPr>
        <w:spacing w:after="200"/>
        <w:ind w:right="-180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1EE9ADBB" w14:textId="05BAA37F" w:rsidR="00BC4983" w:rsidRDefault="0084238D" w:rsidP="00BC4983">
      <w:pPr>
        <w:spacing w:after="200"/>
        <w:ind w:right="-18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  <w:r w:rsidRPr="00BC4983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“</w:t>
      </w:r>
      <w:r w:rsidR="00BC4983" w:rsidRPr="00BC4983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Systems-Based Practice in US Medical Education:</w:t>
      </w:r>
    </w:p>
    <w:p w14:paraId="1AF8DAAF" w14:textId="72FAE9D6" w:rsidR="0084238D" w:rsidRDefault="00BC4983" w:rsidP="00BC4983">
      <w:pPr>
        <w:spacing w:after="200"/>
        <w:ind w:right="-18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  <w:r w:rsidRPr="00BC4983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Advancing Academic Work in General Internal Medicine</w:t>
      </w:r>
      <w:r w:rsidR="0084238D" w:rsidRPr="00BC4983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”</w:t>
      </w:r>
    </w:p>
    <w:p w14:paraId="62A229A0" w14:textId="711B32B8" w:rsidR="00294073" w:rsidRDefault="00306ADE" w:rsidP="00306ADE">
      <w:pPr>
        <w:ind w:left="-90" w:firstLine="1530"/>
        <w:jc w:val="center"/>
        <w:rPr>
          <w:rFonts w:ascii="Arial" w:eastAsia="Cambria" w:hAnsi="Arial" w:cs="Arial"/>
          <w:b/>
          <w:bCs/>
          <w:sz w:val="32"/>
          <w:szCs w:val="32"/>
        </w:rPr>
      </w:pPr>
      <w:r>
        <w:rPr>
          <w:rFonts w:ascii="Arial" w:eastAsia="Cambria" w:hAnsi="Arial" w:cs="Arial"/>
          <w:b/>
          <w:bCs/>
          <w:sz w:val="32"/>
          <w:szCs w:val="32"/>
        </w:rPr>
        <w:t xml:space="preserve">              </w:t>
      </w:r>
    </w:p>
    <w:tbl>
      <w:tblPr>
        <w:tblStyle w:val="TableGrid"/>
        <w:tblW w:w="18540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9270"/>
      </w:tblGrid>
      <w:tr w:rsidR="005D6642" w14:paraId="4FDA5173" w14:textId="3F798806" w:rsidTr="005D6642">
        <w:trPr>
          <w:trHeight w:val="2939"/>
        </w:trPr>
        <w:tc>
          <w:tcPr>
            <w:tcW w:w="9270" w:type="dxa"/>
          </w:tcPr>
          <w:p w14:paraId="505487AB" w14:textId="053D3F3A" w:rsidR="005D6642" w:rsidRDefault="005D6642" w:rsidP="00306ADE">
            <w:pPr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E736BB">
              <w:rPr>
                <w:rFonts w:ascii="Arial" w:eastAsia="Cambria" w:hAnsi="Arial" w:cs="Arial"/>
                <w:b/>
                <w:bCs/>
                <w:noProof/>
                <w:sz w:val="32"/>
                <w:szCs w:val="32"/>
                <w:highlight w:val="yellow"/>
              </w:rPr>
              <w:drawing>
                <wp:anchor distT="0" distB="0" distL="114300" distR="114300" simplePos="0" relativeHeight="251661312" behindDoc="0" locked="0" layoutInCell="1" allowOverlap="1" wp14:anchorId="7710023E" wp14:editId="33A2C4E0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19050</wp:posOffset>
                  </wp:positionV>
                  <wp:extent cx="1335024" cy="1773936"/>
                  <wp:effectExtent l="19050" t="19050" r="17780" b="1714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024" cy="177393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46266F" w14:textId="6A86CEB0" w:rsidR="005D6642" w:rsidRDefault="005D6642" w:rsidP="00BC4983">
            <w:pPr>
              <w:ind w:left="2055" w:right="885"/>
              <w:jc w:val="center"/>
              <w:rPr>
                <w:rFonts w:ascii="Arial" w:eastAsia="Cambria" w:hAnsi="Arial" w:cs="Arial"/>
                <w:b/>
                <w:bCs/>
                <w:sz w:val="32"/>
                <w:szCs w:val="32"/>
              </w:rPr>
            </w:pPr>
            <w:r w:rsidRPr="00AB0B5C">
              <w:rPr>
                <w:rFonts w:ascii="Arial" w:eastAsia="Cambria" w:hAnsi="Arial" w:cs="Arial"/>
                <w:b/>
                <w:bCs/>
                <w:sz w:val="32"/>
                <w:szCs w:val="32"/>
              </w:rPr>
              <w:t>Jed Gonzalo, MD MSc</w:t>
            </w:r>
          </w:p>
          <w:p w14:paraId="50B430AB" w14:textId="77777777" w:rsidR="005D6642" w:rsidRDefault="005D6642" w:rsidP="00BC4983">
            <w:pPr>
              <w:ind w:left="2055" w:right="88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</w:p>
          <w:p w14:paraId="58927466" w14:textId="77777777" w:rsidR="005D6642" w:rsidRPr="00AB0B5C" w:rsidRDefault="005D6642" w:rsidP="00AB0B5C">
            <w:pPr>
              <w:ind w:left="2055" w:right="88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AB0B5C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Professor of Medicine and Public Health Sciences</w:t>
            </w:r>
          </w:p>
          <w:p w14:paraId="05886026" w14:textId="77777777" w:rsidR="005D6642" w:rsidRPr="00AB0B5C" w:rsidRDefault="005D6642" w:rsidP="00AB0B5C">
            <w:pPr>
              <w:ind w:left="2055" w:right="88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AB0B5C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Associate Dean for Health Systems Education</w:t>
            </w:r>
          </w:p>
          <w:p w14:paraId="05DCF4A2" w14:textId="5BDD4547" w:rsidR="005D6642" w:rsidRDefault="005D6642" w:rsidP="005D6642">
            <w:pPr>
              <w:ind w:left="2055" w:right="70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AB0B5C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Penn State College of Medicine</w:t>
            </w:r>
          </w:p>
          <w:p w14:paraId="3DE74FCC" w14:textId="77777777" w:rsidR="005D6642" w:rsidRDefault="005D6642" w:rsidP="0084492D">
            <w:pPr>
              <w:ind w:left="-810" w:firstLine="450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</w:p>
          <w:p w14:paraId="68D85FA6" w14:textId="40AC6279" w:rsidR="005D6642" w:rsidRPr="00294073" w:rsidRDefault="005D6642" w:rsidP="00E736BB">
            <w:pPr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70" w:type="dxa"/>
          </w:tcPr>
          <w:p w14:paraId="34641297" w14:textId="77777777" w:rsidR="005D6642" w:rsidRPr="00E736BB" w:rsidRDefault="005D6642" w:rsidP="00306ADE">
            <w:pPr>
              <w:rPr>
                <w:rFonts w:ascii="Arial" w:eastAsia="Cambria" w:hAnsi="Arial" w:cs="Arial"/>
                <w:b/>
                <w:bCs/>
                <w:noProof/>
                <w:sz w:val="32"/>
                <w:szCs w:val="32"/>
                <w:highlight w:val="yellow"/>
              </w:rPr>
            </w:pPr>
          </w:p>
        </w:tc>
      </w:tr>
    </w:tbl>
    <w:p w14:paraId="505228E3" w14:textId="11FBEBE2" w:rsidR="0084238D" w:rsidRPr="002F5CD3" w:rsidRDefault="0084238D" w:rsidP="0084492D">
      <w:pPr>
        <w:spacing w:after="200"/>
        <w:ind w:left="-180" w:firstLine="180"/>
        <w:jc w:val="center"/>
        <w:rPr>
          <w:rFonts w:ascii="Arial" w:eastAsia="Cambria" w:hAnsi="Arial"/>
          <w:b/>
          <w:bCs/>
          <w:noProof/>
          <w:sz w:val="24"/>
          <w:szCs w:val="24"/>
        </w:rPr>
      </w:pPr>
      <w:r w:rsidRPr="002F5CD3">
        <w:rPr>
          <w:rFonts w:ascii="Arial" w:eastAsia="Cambria" w:hAnsi="Arial"/>
          <w:b/>
          <w:bCs/>
          <w:noProof/>
          <w:sz w:val="24"/>
          <w:szCs w:val="24"/>
        </w:rPr>
        <w:t xml:space="preserve">Date: </w:t>
      </w:r>
      <w:r w:rsidR="00306ADE">
        <w:rPr>
          <w:rFonts w:ascii="Arial" w:eastAsia="Cambria" w:hAnsi="Arial"/>
          <w:b/>
          <w:bCs/>
          <w:noProof/>
          <w:sz w:val="24"/>
          <w:szCs w:val="24"/>
        </w:rPr>
        <w:t>May 26, 2022</w:t>
      </w:r>
      <w:r w:rsidR="00C24E8A">
        <w:rPr>
          <w:rFonts w:ascii="Arial" w:eastAsia="Cambria" w:hAnsi="Arial"/>
          <w:b/>
          <w:bCs/>
          <w:noProof/>
          <w:sz w:val="24"/>
          <w:szCs w:val="24"/>
        </w:rPr>
        <w:t xml:space="preserve"> </w:t>
      </w:r>
      <w:r w:rsidRPr="002F5CD3">
        <w:rPr>
          <w:rFonts w:ascii="Arial" w:eastAsia="Cambria" w:hAnsi="Arial"/>
          <w:b/>
          <w:bCs/>
          <w:noProof/>
          <w:sz w:val="24"/>
          <w:szCs w:val="24"/>
        </w:rPr>
        <w:t>12:00pm – 1:00pm</w:t>
      </w:r>
    </w:p>
    <w:p w14:paraId="4CF688CF" w14:textId="4D5E0915" w:rsidR="002F5CD3" w:rsidRDefault="0084238D" w:rsidP="0084492D">
      <w:pPr>
        <w:spacing w:after="200"/>
        <w:ind w:left="-180" w:firstLine="180"/>
        <w:jc w:val="center"/>
        <w:rPr>
          <w:rFonts w:ascii="Arial" w:eastAsia="Cambria" w:hAnsi="Arial"/>
          <w:noProof/>
          <w:sz w:val="22"/>
          <w:szCs w:val="22"/>
        </w:rPr>
      </w:pPr>
      <w:r w:rsidRPr="0084238D">
        <w:rPr>
          <w:rFonts w:ascii="Arial" w:eastAsia="Cambria" w:hAnsi="Arial"/>
          <w:noProof/>
          <w:sz w:val="22"/>
          <w:szCs w:val="22"/>
        </w:rPr>
        <w:t xml:space="preserve">Zoom: </w:t>
      </w:r>
      <w:hyperlink r:id="rId7" w:history="1">
        <w:r w:rsidR="00C264F7" w:rsidRPr="001A1F69">
          <w:rPr>
            <w:rStyle w:val="Hyperlink"/>
            <w:rFonts w:ascii="Arial" w:eastAsia="Cambria" w:hAnsi="Arial"/>
            <w:noProof/>
            <w:sz w:val="22"/>
            <w:szCs w:val="22"/>
          </w:rPr>
          <w:t>https://zoom.us/j/95746029979?pwd=QzhPa1FycWYxZFVHT3ZtYlYzN1p3UT09</w:t>
        </w:r>
      </w:hyperlink>
      <w:r w:rsidR="00C264F7">
        <w:rPr>
          <w:rFonts w:ascii="Arial" w:eastAsia="Cambria" w:hAnsi="Arial"/>
          <w:noProof/>
          <w:sz w:val="22"/>
          <w:szCs w:val="22"/>
        </w:rPr>
        <w:t xml:space="preserve"> </w:t>
      </w:r>
    </w:p>
    <w:p w14:paraId="7537EEEF" w14:textId="056F06DB" w:rsidR="0084238D" w:rsidRPr="0084238D" w:rsidRDefault="009C0AAD" w:rsidP="0084492D">
      <w:pPr>
        <w:spacing w:after="200"/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 w:rsidR="00A81D8E">
        <w:rPr>
          <w:rFonts w:ascii="Arial" w:eastAsia="Cambria" w:hAnsi="Arial" w:cs="Arial"/>
          <w:b/>
          <w:bCs/>
          <w:iCs/>
          <w:sz w:val="22"/>
          <w:szCs w:val="22"/>
        </w:rPr>
        <w:t>TBD</w:t>
      </w:r>
      <w:r w:rsidR="0084238D" w:rsidRPr="0084238D">
        <w:rPr>
          <w:rFonts w:ascii="Arial" w:eastAsia="Cambria" w:hAnsi="Arial" w:cs="Arial"/>
          <w:b/>
          <w:bCs/>
          <w:sz w:val="22"/>
          <w:szCs w:val="22"/>
        </w:rPr>
        <w:t xml:space="preserve">                             </w:t>
      </w:r>
    </w:p>
    <w:p w14:paraId="70644371" w14:textId="77777777" w:rsidR="0084238D" w:rsidRPr="0084238D" w:rsidRDefault="0084238D" w:rsidP="0084492D">
      <w:pPr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84238D">
        <w:rPr>
          <w:rFonts w:ascii="Arial" w:eastAsia="Cambria" w:hAnsi="Arial" w:cs="Arial"/>
          <w:b/>
          <w:bCs/>
          <w:sz w:val="22"/>
          <w:szCs w:val="22"/>
        </w:rPr>
        <w:t>Course Director/Host: Patrick G. O’Connor, MD, MPH, 203-688-6532</w:t>
      </w:r>
    </w:p>
    <w:p w14:paraId="517C42A8" w14:textId="57EF5C2C" w:rsidR="0084238D" w:rsidRPr="002F5CD3" w:rsidRDefault="0084238D" w:rsidP="0084492D">
      <w:pPr>
        <w:ind w:left="-180" w:firstLine="180"/>
        <w:jc w:val="center"/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</w:pPr>
      <w:r w:rsidRPr="002F5CD3"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  <w:t>There is no corporate or commercial support for this activity</w:t>
      </w:r>
    </w:p>
    <w:p w14:paraId="27160392" w14:textId="77777777" w:rsidR="0084238D" w:rsidRPr="0084238D" w:rsidRDefault="0084238D" w:rsidP="0084492D">
      <w:pPr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84238D">
        <w:rPr>
          <w:rFonts w:ascii="Arial" w:eastAsia="Cambria" w:hAnsi="Arial" w:cs="Arial"/>
          <w:b/>
          <w:bCs/>
          <w:sz w:val="22"/>
          <w:szCs w:val="22"/>
        </w:rPr>
        <w:t>This course will fulfill the licensure requirement set forth by the State of Connecticut</w:t>
      </w:r>
    </w:p>
    <w:p w14:paraId="2E9080EC" w14:textId="77777777" w:rsidR="00693E53" w:rsidRDefault="00693E53"/>
    <w:tbl>
      <w:tblPr>
        <w:tblStyle w:val="ListTable5Dark-Accent51"/>
        <w:tblW w:w="9870" w:type="dxa"/>
        <w:tblLook w:val="04A0" w:firstRow="1" w:lastRow="0" w:firstColumn="1" w:lastColumn="0" w:noHBand="0" w:noVBand="1"/>
      </w:tblPr>
      <w:tblGrid>
        <w:gridCol w:w="9870"/>
      </w:tblGrid>
      <w:tr w:rsidR="00693E53" w14:paraId="7C5E7BFE" w14:textId="77777777" w:rsidTr="001F5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70" w:type="dxa"/>
            <w:tcBorders>
              <w:right w:val="single" w:sz="4" w:space="0" w:color="FFFFFF" w:themeColor="background1"/>
            </w:tcBorders>
          </w:tcPr>
          <w:p w14:paraId="5CE2EC54" w14:textId="77777777" w:rsidR="008F5709" w:rsidRPr="00CC0ABE" w:rsidRDefault="009C0AAD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BE57F4">
              <w:rPr>
                <w:rFonts w:ascii="Arial" w:eastAsia="Cambria" w:hAnsi="Arial" w:cs="Arial"/>
              </w:rPr>
              <w:t>Program Goal:</w:t>
            </w:r>
            <w:r w:rsidRPr="00CC0ABE">
              <w:rPr>
                <w:rFonts w:ascii="Arial" w:eastAsia="Cambria" w:hAnsi="Arial" w:cs="Arial"/>
              </w:rPr>
              <w:t xml:space="preserve"> </w:t>
            </w:r>
          </w:p>
          <w:p w14:paraId="6C394FD8" w14:textId="5A2AAFF9" w:rsidR="00C264F7" w:rsidRPr="00C264F7" w:rsidRDefault="00C264F7" w:rsidP="00C264F7">
            <w:pPr>
              <w:spacing w:after="120"/>
              <w:rPr>
                <w:rFonts w:ascii="Arial" w:eastAsia="Cambria" w:hAnsi="Arial" w:cs="Arial"/>
                <w:b w:val="0"/>
                <w:bCs w:val="0"/>
                <w:noProof/>
              </w:rPr>
            </w:pPr>
            <w:r>
              <w:rPr>
                <w:rFonts w:ascii="Arial" w:eastAsia="Cambria" w:hAnsi="Arial" w:cs="Arial"/>
                <w:b w:val="0"/>
                <w:bCs w:val="0"/>
                <w:noProof/>
              </w:rPr>
              <w:t xml:space="preserve">1. </w:t>
            </w:r>
            <w:r w:rsidRPr="00C264F7">
              <w:rPr>
                <w:rFonts w:ascii="Arial" w:eastAsia="Cambria" w:hAnsi="Arial" w:cs="Arial"/>
                <w:b w:val="0"/>
                <w:bCs w:val="0"/>
                <w:noProof/>
              </w:rPr>
              <w:t>Define Systems-Based Practice,</w:t>
            </w:r>
          </w:p>
          <w:p w14:paraId="6DB8F44C" w14:textId="694E4E2C" w:rsidR="00C264F7" w:rsidRPr="00C264F7" w:rsidRDefault="00C264F7" w:rsidP="00C264F7">
            <w:pPr>
              <w:spacing w:after="120"/>
              <w:rPr>
                <w:rFonts w:ascii="Arial" w:eastAsia="Cambria" w:hAnsi="Arial" w:cs="Arial"/>
                <w:b w:val="0"/>
                <w:bCs w:val="0"/>
                <w:noProof/>
              </w:rPr>
            </w:pPr>
            <w:r>
              <w:rPr>
                <w:rFonts w:ascii="Arial" w:eastAsia="Cambria" w:hAnsi="Arial" w:cs="Arial"/>
                <w:b w:val="0"/>
                <w:bCs w:val="0"/>
                <w:noProof/>
              </w:rPr>
              <w:t xml:space="preserve">2. </w:t>
            </w:r>
            <w:r w:rsidRPr="00C264F7">
              <w:rPr>
                <w:rFonts w:ascii="Arial" w:eastAsia="Cambria" w:hAnsi="Arial" w:cs="Arial"/>
                <w:b w:val="0"/>
                <w:bCs w:val="0"/>
                <w:noProof/>
              </w:rPr>
              <w:t>Define and describe Health Systems Science – the 3rd pillar of medical education,</w:t>
            </w:r>
          </w:p>
          <w:p w14:paraId="6B80F7ED" w14:textId="3E6B32B6" w:rsidR="00C264F7" w:rsidRPr="00C264F7" w:rsidRDefault="00C264F7" w:rsidP="00C264F7">
            <w:pPr>
              <w:spacing w:after="120"/>
              <w:rPr>
                <w:rFonts w:ascii="Arial" w:eastAsia="Cambria" w:hAnsi="Arial" w:cs="Arial"/>
                <w:b w:val="0"/>
                <w:bCs w:val="0"/>
                <w:noProof/>
              </w:rPr>
            </w:pPr>
            <w:r>
              <w:rPr>
                <w:rFonts w:ascii="Arial" w:eastAsia="Cambria" w:hAnsi="Arial" w:cs="Arial"/>
                <w:b w:val="0"/>
                <w:bCs w:val="0"/>
                <w:noProof/>
              </w:rPr>
              <w:t xml:space="preserve">3. </w:t>
            </w:r>
            <w:r w:rsidRPr="00C264F7">
              <w:rPr>
                <w:rFonts w:ascii="Arial" w:eastAsia="Cambria" w:hAnsi="Arial" w:cs="Arial"/>
                <w:b w:val="0"/>
                <w:bCs w:val="0"/>
                <w:noProof/>
              </w:rPr>
              <w:t xml:space="preserve">Articulate the historical perspective of SBP and HSS, </w:t>
            </w:r>
          </w:p>
          <w:p w14:paraId="4DB423BA" w14:textId="067E1A42" w:rsidR="00C264F7" w:rsidRPr="00C264F7" w:rsidRDefault="00C264F7" w:rsidP="00C264F7">
            <w:pPr>
              <w:spacing w:after="120"/>
              <w:rPr>
                <w:rFonts w:ascii="Arial" w:eastAsia="Cambria" w:hAnsi="Arial" w:cs="Arial"/>
                <w:noProof/>
              </w:rPr>
            </w:pPr>
            <w:r>
              <w:rPr>
                <w:rFonts w:ascii="Arial" w:eastAsia="Cambria" w:hAnsi="Arial" w:cs="Arial"/>
                <w:b w:val="0"/>
                <w:bCs w:val="0"/>
                <w:noProof/>
              </w:rPr>
              <w:t xml:space="preserve">4. </w:t>
            </w:r>
            <w:r w:rsidRPr="00C264F7">
              <w:rPr>
                <w:rFonts w:ascii="Arial" w:eastAsia="Cambria" w:hAnsi="Arial" w:cs="Arial"/>
                <w:b w:val="0"/>
                <w:bCs w:val="0"/>
                <w:noProof/>
              </w:rPr>
              <w:t>Identify the importance of clinical learning environments to the practice, learning, and teaching of systems-</w:t>
            </w:r>
            <w:r>
              <w:rPr>
                <w:rFonts w:ascii="Arial" w:eastAsia="Cambria" w:hAnsi="Arial" w:cs="Arial"/>
                <w:b w:val="0"/>
                <w:bCs w:val="0"/>
                <w:noProof/>
              </w:rPr>
              <w:t xml:space="preserve">            </w:t>
            </w:r>
            <w:r w:rsidRPr="00C264F7">
              <w:rPr>
                <w:rFonts w:ascii="Arial" w:eastAsia="Cambria" w:hAnsi="Arial" w:cs="Arial"/>
                <w:b w:val="0"/>
                <w:bCs w:val="0"/>
                <w:noProof/>
              </w:rPr>
              <w:t>based competencies, and,</w:t>
            </w:r>
          </w:p>
          <w:p w14:paraId="21ACC717" w14:textId="328DA543" w:rsidR="008F5709" w:rsidRPr="00CC0ABE" w:rsidRDefault="00C264F7" w:rsidP="00C264F7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264F7">
              <w:rPr>
                <w:rFonts w:ascii="Arial" w:eastAsia="Cambria" w:hAnsi="Arial" w:cs="Arial"/>
                <w:b w:val="0"/>
                <w:bCs w:val="0"/>
                <w:noProof/>
              </w:rPr>
              <w:t xml:space="preserve">5. </w:t>
            </w:r>
            <w:r w:rsidRPr="00C264F7">
              <w:rPr>
                <w:rFonts w:ascii="Arial" w:eastAsia="Cambria" w:hAnsi="Arial" w:cs="Arial"/>
                <w:b w:val="0"/>
                <w:bCs w:val="0"/>
                <w:noProof/>
              </w:rPr>
              <w:t>Identify potential strategies to advance SBP/HSS in GIM.</w:t>
            </w:r>
            <w:r w:rsidRPr="00C264F7">
              <w:rPr>
                <w:rFonts w:ascii="Arial" w:eastAsia="Cambria" w:hAnsi="Arial" w:cs="Arial"/>
                <w:b w:val="0"/>
                <w:bCs w:val="0"/>
                <w:noProof/>
                <w:color w:val="auto"/>
              </w:rPr>
              <w:t xml:space="preserve">  </w:t>
            </w:r>
          </w:p>
        </w:tc>
      </w:tr>
      <w:tr w:rsidR="00693E53" w14:paraId="3C2F06E5" w14:textId="77777777" w:rsidTr="001F5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0" w:type="dxa"/>
          </w:tcPr>
          <w:p w14:paraId="4FC7B9C8" w14:textId="3486CCFB" w:rsidR="008F5709" w:rsidRPr="00C264F7" w:rsidRDefault="00BE57F4" w:rsidP="008F5709">
            <w:pPr>
              <w:spacing w:before="120" w:after="200"/>
              <w:rPr>
                <w:rFonts w:ascii="Arial" w:eastAsia="Cambria" w:hAnsi="Arial" w:cs="Arial"/>
                <w:sz w:val="16"/>
                <w:szCs w:val="16"/>
              </w:rPr>
            </w:pPr>
            <w:r w:rsidRPr="00C264F7">
              <w:rPr>
                <w:rFonts w:ascii="Arial" w:eastAsia="Cambria" w:hAnsi="Arial" w:cs="Arial"/>
                <w:sz w:val="16"/>
                <w:szCs w:val="16"/>
              </w:rPr>
              <w:t>Target Audience: Medical Professionals</w:t>
            </w:r>
          </w:p>
        </w:tc>
      </w:tr>
    </w:tbl>
    <w:p w14:paraId="472CD6E8" w14:textId="0BC7488F" w:rsidR="00C24E8A" w:rsidRDefault="00BE57F4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BE57F4">
        <w:rPr>
          <w:rFonts w:ascii="Arial" w:eastAsia="Cambria" w:hAnsi="Arial" w:cs="Arial"/>
          <w:i/>
          <w:sz w:val="16"/>
          <w:szCs w:val="16"/>
        </w:rPr>
        <w:t xml:space="preserve">Financial Disclosure </w:t>
      </w:r>
      <w:r w:rsidRPr="00C264F7">
        <w:rPr>
          <w:rFonts w:ascii="Arial" w:eastAsia="Cambria" w:hAnsi="Arial" w:cs="Arial"/>
          <w:i/>
          <w:sz w:val="16"/>
          <w:szCs w:val="16"/>
        </w:rPr>
        <w:t xml:space="preserve">Information: Dr. </w:t>
      </w:r>
      <w:r w:rsidR="00306ADE" w:rsidRPr="00C264F7">
        <w:rPr>
          <w:rFonts w:ascii="Arial" w:eastAsia="Cambria" w:hAnsi="Arial" w:cs="Arial"/>
          <w:i/>
          <w:sz w:val="16"/>
          <w:szCs w:val="16"/>
        </w:rPr>
        <w:t>Gonzalo</w:t>
      </w:r>
      <w:r w:rsidR="00B125BF" w:rsidRPr="00C264F7">
        <w:rPr>
          <w:rFonts w:ascii="Arial" w:eastAsia="Cambria" w:hAnsi="Arial" w:cs="Arial"/>
          <w:i/>
          <w:sz w:val="16"/>
          <w:szCs w:val="16"/>
        </w:rPr>
        <w:t xml:space="preserve"> </w:t>
      </w:r>
      <w:r w:rsidRPr="00C264F7">
        <w:rPr>
          <w:rFonts w:ascii="Arial" w:eastAsia="Cambria" w:hAnsi="Arial" w:cs="Arial"/>
          <w:i/>
          <w:sz w:val="16"/>
          <w:szCs w:val="16"/>
        </w:rPr>
        <w:t>has no relevant financial relationship(s)</w:t>
      </w:r>
      <w:r w:rsidRPr="00BE57F4">
        <w:rPr>
          <w:rFonts w:ascii="Arial" w:eastAsia="Cambria" w:hAnsi="Arial" w:cs="Arial"/>
          <w:i/>
          <w:sz w:val="16"/>
          <w:szCs w:val="16"/>
        </w:rPr>
        <w:t xml:space="preserve"> with ineligible companies to disclose.</w:t>
      </w:r>
    </w:p>
    <w:p w14:paraId="44F646D1" w14:textId="1CA0280A" w:rsidR="00C24E8A" w:rsidRDefault="009C0AAD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  <w:r w:rsidR="00C24E8A">
        <w:rPr>
          <w:rFonts w:ascii="Arial" w:eastAsia="Cambria" w:hAnsi="Arial" w:cs="Arial"/>
          <w:i/>
          <w:sz w:val="16"/>
          <w:szCs w:val="16"/>
        </w:rPr>
        <w:t xml:space="preserve"> </w:t>
      </w:r>
    </w:p>
    <w:p w14:paraId="1119AB61" w14:textId="0CCA38EB" w:rsidR="00C86889" w:rsidRPr="00512139" w:rsidRDefault="009C0AAD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Designation Statement: Yale School of Medicine designates this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7469AC81" w14:textId="77777777" w:rsidR="00B85050" w:rsidRDefault="005D6642" w:rsidP="000A4A5D">
      <w:pPr>
        <w:jc w:val="center"/>
      </w:pPr>
    </w:p>
    <w:sectPr w:rsidR="00B85050" w:rsidSect="0084492D">
      <w:headerReference w:type="default" r:id="rId8"/>
      <w:type w:val="continuous"/>
      <w:pgSz w:w="12240" w:h="15840"/>
      <w:pgMar w:top="1440" w:right="144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C011" w14:textId="77777777" w:rsidR="006B0ECA" w:rsidRDefault="006B0ECA">
      <w:r>
        <w:separator/>
      </w:r>
    </w:p>
  </w:endnote>
  <w:endnote w:type="continuationSeparator" w:id="0">
    <w:p w14:paraId="06D85D74" w14:textId="77777777" w:rsidR="006B0ECA" w:rsidRDefault="006B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86C4" w14:textId="77777777" w:rsidR="006B0ECA" w:rsidRDefault="006B0ECA">
      <w:r>
        <w:separator/>
      </w:r>
    </w:p>
  </w:footnote>
  <w:footnote w:type="continuationSeparator" w:id="0">
    <w:p w14:paraId="3D0F4596" w14:textId="77777777" w:rsidR="006B0ECA" w:rsidRDefault="006B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3AA9" w14:textId="77777777" w:rsidR="00525504" w:rsidRDefault="009C0AA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4AD8977" wp14:editId="707F7F75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53"/>
    <w:rsid w:val="001F5A1E"/>
    <w:rsid w:val="0023317D"/>
    <w:rsid w:val="00294073"/>
    <w:rsid w:val="002F5CD3"/>
    <w:rsid w:val="00306ADE"/>
    <w:rsid w:val="003158C4"/>
    <w:rsid w:val="00394D0E"/>
    <w:rsid w:val="003D672B"/>
    <w:rsid w:val="00407133"/>
    <w:rsid w:val="00483C9F"/>
    <w:rsid w:val="005D6642"/>
    <w:rsid w:val="00660DF3"/>
    <w:rsid w:val="00693E53"/>
    <w:rsid w:val="006B0ECA"/>
    <w:rsid w:val="0084238D"/>
    <w:rsid w:val="0084492D"/>
    <w:rsid w:val="008C1B52"/>
    <w:rsid w:val="009C0AAD"/>
    <w:rsid w:val="00A81D8E"/>
    <w:rsid w:val="00AB0B5C"/>
    <w:rsid w:val="00AB598D"/>
    <w:rsid w:val="00AC2C00"/>
    <w:rsid w:val="00AF44A3"/>
    <w:rsid w:val="00B125BF"/>
    <w:rsid w:val="00B445FF"/>
    <w:rsid w:val="00BC4983"/>
    <w:rsid w:val="00BE57F4"/>
    <w:rsid w:val="00C07CCC"/>
    <w:rsid w:val="00C24E8A"/>
    <w:rsid w:val="00C264F7"/>
    <w:rsid w:val="00D53F38"/>
    <w:rsid w:val="00E042BA"/>
    <w:rsid w:val="00E736BB"/>
    <w:rsid w:val="00F3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D88A"/>
  <w15:docId w15:val="{2E0E6313-2944-4742-B5E9-C6331BF8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5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5C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5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C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C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D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5746029979?pwd=QzhPa1FycWYxZFVHT3ZtYlYzN1p3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Manganello, Michele</cp:lastModifiedBy>
  <cp:revision>4</cp:revision>
  <dcterms:created xsi:type="dcterms:W3CDTF">2021-08-26T21:17:00Z</dcterms:created>
  <dcterms:modified xsi:type="dcterms:W3CDTF">2022-05-20T19:22:00Z</dcterms:modified>
</cp:coreProperties>
</file>