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01E7" w14:textId="77777777" w:rsidR="003B6E60" w:rsidRDefault="00E2119B" w:rsidP="003B6E60">
      <w:pPr>
        <w:tabs>
          <w:tab w:val="right" w:pos="9360"/>
        </w:tabs>
      </w:pPr>
      <w:r>
        <w:tab/>
      </w:r>
    </w:p>
    <w:p w14:paraId="553F85EA" w14:textId="57470887" w:rsidR="000A4A5D" w:rsidRPr="003B6E60" w:rsidRDefault="00E2119B" w:rsidP="003B6E60">
      <w:pPr>
        <w:tabs>
          <w:tab w:val="right" w:pos="9360"/>
        </w:tabs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="003B6E60">
        <w:rPr>
          <w:rFonts w:ascii="Arial" w:hAnsi="Arial" w:cs="Arial"/>
          <w:b/>
          <w:bCs/>
          <w:color w:val="08B5E2"/>
          <w:sz w:val="20"/>
          <w:szCs w:val="20"/>
        </w:rPr>
        <w:t>The Department of Pediatrics</w:t>
      </w:r>
    </w:p>
    <w:p w14:paraId="010139E7" w14:textId="21B12CC2" w:rsidR="000D2BA9" w:rsidRPr="003B6E60" w:rsidRDefault="003B6E60" w:rsidP="00743043">
      <w:pPr>
        <w:jc w:val="center"/>
        <w:rPr>
          <w:rFonts w:ascii="Georgia" w:eastAsia="Cambria" w:hAnsi="Georgia"/>
          <w:b/>
          <w:bCs/>
          <w:i/>
          <w:iCs/>
          <w:noProof/>
          <w:color w:val="0078BF"/>
          <w:sz w:val="28"/>
          <w:szCs w:val="28"/>
        </w:rPr>
      </w:pPr>
      <w:r w:rsidRPr="003B6E60">
        <w:rPr>
          <w:rFonts w:ascii="Georgia" w:eastAsia="Cambria" w:hAnsi="Georgia"/>
          <w:b/>
          <w:bCs/>
          <w:i/>
          <w:iCs/>
          <w:noProof/>
          <w:color w:val="0078BF"/>
          <w:sz w:val="28"/>
          <w:szCs w:val="28"/>
        </w:rPr>
        <w:t>Paul S. Goldstein, MD Lectureship</w:t>
      </w:r>
    </w:p>
    <w:p w14:paraId="250EC6C0" w14:textId="77777777" w:rsidR="003B6E60" w:rsidRPr="003B6E60" w:rsidRDefault="003B6E60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2"/>
          <w:szCs w:val="22"/>
        </w:rPr>
      </w:pPr>
    </w:p>
    <w:p w14:paraId="271708DE" w14:textId="77777777" w:rsidR="00164471" w:rsidRPr="000D2BA9" w:rsidRDefault="00E2119B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Hypothalamic-Pituitary Dysfunction after Childhood Cancer Treatment: Clinical Pearls for the Endocrinologist and Pediatrician</w:t>
      </w:r>
    </w:p>
    <w:p w14:paraId="39BBFE19" w14:textId="77777777" w:rsidR="00C86889" w:rsidRPr="00CC0ABE" w:rsidRDefault="00E2119B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5/18/2022 12:00:00 PM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5/18/2022 1:00:00 PM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Medical Campus</w:t>
      </w:r>
    </w:p>
    <w:p w14:paraId="7C0FD511" w14:textId="77777777" w:rsidR="00C86889" w:rsidRPr="00AC4DCE" w:rsidRDefault="00E2119B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The Pediatric Subspecialty Lecture series is a </w:t>
      </w:r>
      <w:r>
        <w:t xml:space="preserve">multidisciplinary series. The series includes </w:t>
      </w:r>
      <w:proofErr w:type="gramStart"/>
      <w:r>
        <w:t>one hour</w:t>
      </w:r>
      <w:proofErr w:type="gramEnd"/>
      <w:r>
        <w:t xml:space="preserve"> lectures and case presentations that update our pediatric subspecialist physicians, learners and other healthcare professionals on cutting edge biomedical sciences, clinical and educational practices, </w:t>
      </w:r>
      <w:r>
        <w:t>presenting this information in an understandable and clinically useful format, that informs the health care delivery and improves outcomes of children and adolescents. Pediatric Subspecialty lecture topics are varied.</w:t>
      </w:r>
    </w:p>
    <w:p w14:paraId="066DD661" w14:textId="77519802" w:rsidR="00527E2C" w:rsidRDefault="00E2119B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2972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6</w:t>
      </w:r>
    </w:p>
    <w:p w14:paraId="3EC5FB9D" w14:textId="0EE6162E" w:rsidR="00527E2C" w:rsidRPr="009C1A30" w:rsidRDefault="00E2119B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4C528E9A" w14:textId="77777777" w:rsidR="00527E2C" w:rsidRPr="009C1A30" w:rsidRDefault="00E2119B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2EE4" w14:paraId="1C52DB9C" w14:textId="77777777">
        <w:trPr>
          <w:tblCellSpacing w:w="15" w:type="dxa"/>
        </w:trPr>
        <w:tc>
          <w:tcPr>
            <w:tcW w:w="0" w:type="auto"/>
            <w:vAlign w:val="center"/>
          </w:tcPr>
          <w:p w14:paraId="16357840" w14:textId="1041701A" w:rsidR="00DE2EE4" w:rsidRDefault="003B6E60">
            <w:r w:rsidRPr="003B6E60">
              <w:rPr>
                <w:rFonts w:ascii="Arial" w:eastAsia="Cambria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0EB073F" wp14:editId="492CE49D">
                  <wp:simplePos x="0" y="0"/>
                  <wp:positionH relativeFrom="column">
                    <wp:posOffset>3589655</wp:posOffset>
                  </wp:positionH>
                  <wp:positionV relativeFrom="paragraph">
                    <wp:posOffset>-734695</wp:posOffset>
                  </wp:positionV>
                  <wp:extent cx="2312035" cy="15411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035" cy="154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19B">
              <w:t>Laurie E Cohen, MD</w:t>
            </w:r>
          </w:p>
        </w:tc>
      </w:tr>
      <w:tr w:rsidR="00DE2EE4" w14:paraId="22F0974D" w14:textId="77777777">
        <w:trPr>
          <w:tblCellSpacing w:w="15" w:type="dxa"/>
        </w:trPr>
        <w:tc>
          <w:tcPr>
            <w:tcW w:w="0" w:type="auto"/>
            <w:vAlign w:val="center"/>
          </w:tcPr>
          <w:p w14:paraId="31BFB788" w14:textId="5B6A0041" w:rsidR="00DE2EE4" w:rsidRDefault="00E2119B">
            <w:r>
              <w:t>Chief, Division of Pediatric Endocrinology &amp; Diabetes</w:t>
            </w:r>
          </w:p>
        </w:tc>
      </w:tr>
      <w:tr w:rsidR="00DE2EE4" w14:paraId="47C8527F" w14:textId="77777777">
        <w:trPr>
          <w:tblCellSpacing w:w="15" w:type="dxa"/>
        </w:trPr>
        <w:tc>
          <w:tcPr>
            <w:tcW w:w="0" w:type="auto"/>
            <w:vAlign w:val="center"/>
          </w:tcPr>
          <w:p w14:paraId="02E935F9" w14:textId="120D5349" w:rsidR="00DE2EE4" w:rsidRDefault="00E2119B">
            <w:r>
              <w:t>The Children's Hospital at Montefiore</w:t>
            </w:r>
          </w:p>
        </w:tc>
      </w:tr>
    </w:tbl>
    <w:p w14:paraId="10557958" w14:textId="77777777" w:rsidR="00DE2EE4" w:rsidRDefault="00DE2EE4"/>
    <w:p w14:paraId="3A1CE0E9" w14:textId="77777777" w:rsidR="001572B8" w:rsidRDefault="00E2119B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 w:rsidSect="003B6E6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DE2EE4" w14:paraId="071C1B0D" w14:textId="77777777" w:rsidTr="00DE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0ED307A" w14:textId="77777777" w:rsidR="008F5709" w:rsidRPr="003B6E60" w:rsidRDefault="00E2119B" w:rsidP="008F5709">
            <w:pPr>
              <w:spacing w:before="120" w:after="120"/>
              <w:rPr>
                <w:rFonts w:ascii="Arial" w:eastAsia="Cambria" w:hAnsi="Arial" w:cs="Arial"/>
                <w:sz w:val="22"/>
                <w:szCs w:val="22"/>
              </w:rPr>
            </w:pPr>
            <w:r w:rsidRPr="003B6E60">
              <w:rPr>
                <w:rFonts w:ascii="Arial" w:eastAsia="Cambria" w:hAnsi="Arial" w:cs="Arial"/>
                <w:sz w:val="22"/>
                <w:szCs w:val="22"/>
              </w:rPr>
              <w:t xml:space="preserve">Program Goal: </w:t>
            </w:r>
          </w:p>
          <w:p w14:paraId="26696607" w14:textId="77777777" w:rsidR="008F5709" w:rsidRPr="003B6E60" w:rsidRDefault="00E2119B" w:rsidP="00B62074">
            <w:pPr>
              <w:spacing w:after="120"/>
              <w:rPr>
                <w:rFonts w:ascii="Arial" w:eastAsia="Cambria" w:hAnsi="Arial"/>
                <w:color w:val="000000"/>
                <w:sz w:val="22"/>
                <w:szCs w:val="22"/>
              </w:rPr>
            </w:pPr>
            <w:r w:rsidRPr="003B6E60">
              <w:rPr>
                <w:rFonts w:ascii="Arial" w:eastAsia="Cambria" w:hAnsi="Arial" w:cs="Arial"/>
                <w:b w:val="0"/>
                <w:bCs w:val="0"/>
                <w:noProof/>
                <w:sz w:val="22"/>
                <w:szCs w:val="22"/>
              </w:rPr>
              <w:t>1 Recognize</w:t>
            </w:r>
            <w:r w:rsidRPr="003B6E60">
              <w:rPr>
                <w:rFonts w:ascii="Arial" w:eastAsia="Cambria" w:hAnsi="Arial" w:cs="Arial"/>
                <w:noProof/>
                <w:sz w:val="22"/>
                <w:szCs w:val="22"/>
              </w:rPr>
              <w:t xml:space="preserve"> that endocrine complications are common in childhood cancer survivors (CCS)</w:t>
            </w:r>
          </w:p>
          <w:p w14:paraId="347BECBE" w14:textId="77777777" w:rsidR="00DE2EE4" w:rsidRPr="003B6E60" w:rsidRDefault="00E2119B" w:rsidP="00B62074">
            <w:pPr>
              <w:spacing w:after="120"/>
              <w:rPr>
                <w:rFonts w:ascii="Arial" w:eastAsia="Cambria" w:hAnsi="Arial" w:cs="Arial"/>
                <w:noProof/>
                <w:sz w:val="22"/>
                <w:szCs w:val="22"/>
              </w:rPr>
            </w:pPr>
            <w:r w:rsidRPr="003B6E60">
              <w:rPr>
                <w:rFonts w:ascii="Arial" w:eastAsia="Cambria" w:hAnsi="Arial" w:cs="Arial"/>
                <w:noProof/>
                <w:sz w:val="22"/>
                <w:szCs w:val="22"/>
              </w:rPr>
              <w:t>2 Recognize the risks of growth hormone deficiency and and other factors that impair growth in CSS</w:t>
            </w:r>
          </w:p>
          <w:p w14:paraId="1135FDF8" w14:textId="77777777" w:rsidR="00DE2EE4" w:rsidRPr="003B6E60" w:rsidRDefault="00E2119B" w:rsidP="00B62074">
            <w:pPr>
              <w:spacing w:after="120"/>
              <w:rPr>
                <w:rFonts w:ascii="Arial" w:eastAsia="Cambria" w:hAnsi="Arial" w:cs="Arial"/>
                <w:noProof/>
                <w:sz w:val="22"/>
                <w:szCs w:val="22"/>
              </w:rPr>
            </w:pPr>
            <w:r w:rsidRPr="003B6E60">
              <w:rPr>
                <w:rFonts w:ascii="Arial" w:eastAsia="Cambria" w:hAnsi="Arial" w:cs="Arial"/>
                <w:noProof/>
                <w:sz w:val="22"/>
                <w:szCs w:val="22"/>
              </w:rPr>
              <w:t xml:space="preserve">3 Recognize the risks of other anterior pituitary hormone </w:t>
            </w:r>
            <w:r w:rsidRPr="003B6E60">
              <w:rPr>
                <w:rFonts w:ascii="Arial" w:eastAsia="Cambria" w:hAnsi="Arial" w:cs="Arial"/>
                <w:noProof/>
                <w:sz w:val="22"/>
                <w:szCs w:val="22"/>
              </w:rPr>
              <w:t>deficiencies (APHD) in CCS</w:t>
            </w:r>
          </w:p>
          <w:p w14:paraId="5F5CD31E" w14:textId="77777777" w:rsidR="008F5709" w:rsidRPr="003B6E60" w:rsidRDefault="00E2119B" w:rsidP="00B62074">
            <w:pPr>
              <w:spacing w:after="120"/>
              <w:rPr>
                <w:rFonts w:ascii="Arial" w:eastAsia="Cambria" w:hAnsi="Arial"/>
                <w:color w:val="000000"/>
                <w:sz w:val="22"/>
                <w:szCs w:val="22"/>
              </w:rPr>
            </w:pPr>
            <w:r w:rsidRPr="003B6E60">
              <w:rPr>
                <w:rFonts w:ascii="Arial" w:eastAsia="Cambria" w:hAnsi="Arial" w:cs="Arial"/>
                <w:noProof/>
                <w:sz w:val="22"/>
                <w:szCs w:val="22"/>
              </w:rPr>
              <w:t>4 Understand the limitations in testing for APHD</w:t>
            </w:r>
          </w:p>
        </w:tc>
      </w:tr>
      <w:tr w:rsidR="00DE2EE4" w14:paraId="18E2367C" w14:textId="77777777" w:rsidTr="00DE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5C468827" w14:textId="77777777" w:rsidR="008F5709" w:rsidRPr="003B6E60" w:rsidRDefault="00E2119B" w:rsidP="008F5709">
            <w:pPr>
              <w:spacing w:before="120" w:after="200"/>
              <w:rPr>
                <w:rFonts w:ascii="Arial" w:eastAsia="Cambria" w:hAnsi="Arial" w:cs="Arial"/>
                <w:sz w:val="22"/>
                <w:szCs w:val="22"/>
              </w:rPr>
            </w:pPr>
            <w:r w:rsidRPr="003B6E60">
              <w:rPr>
                <w:rFonts w:ascii="Arial" w:eastAsia="Cambria" w:hAnsi="Arial" w:cs="Arial"/>
                <w:sz w:val="22"/>
                <w:szCs w:val="22"/>
              </w:rPr>
              <w:t xml:space="preserve">Target Audience: </w:t>
            </w:r>
            <w:r w:rsidRPr="003B6E60">
              <w:rPr>
                <w:rFonts w:ascii="Arial" w:eastAsia="Cambria" w:hAnsi="Arial" w:cs="Arial"/>
                <w:b w:val="0"/>
                <w:bCs w:val="0"/>
                <w:noProof/>
                <w:sz w:val="22"/>
                <w:szCs w:val="22"/>
              </w:rPr>
              <w:t>Pediatrics</w:t>
            </w:r>
          </w:p>
        </w:tc>
      </w:tr>
    </w:tbl>
    <w:p w14:paraId="6E91A0E5" w14:textId="266191B7" w:rsidR="004A543C" w:rsidRDefault="00E2119B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</w:p>
    <w:p w14:paraId="081FEA55" w14:textId="44E380B3" w:rsidR="003B6E60" w:rsidRDefault="003B6E60" w:rsidP="003B6E60">
      <w:r w:rsidRPr="003B6E60">
        <w:rPr>
          <w:rFonts w:ascii="Arial" w:eastAsia="Cambria" w:hAnsi="Arial" w:cs="Arial"/>
          <w:i/>
          <w:sz w:val="16"/>
          <w:szCs w:val="16"/>
          <w:highlight w:val="yellow"/>
        </w:rPr>
        <w:t xml:space="preserve">Laurie E. Cohen, MD: </w:t>
      </w:r>
      <w:r w:rsidRPr="003B6E60">
        <w:rPr>
          <w:rFonts w:ascii="Arial" w:eastAsia="Cambria" w:hAnsi="Arial" w:cs="Arial"/>
          <w:i/>
          <w:sz w:val="16"/>
          <w:szCs w:val="16"/>
          <w:highlight w:val="yellow"/>
        </w:rPr>
        <w:t xml:space="preserve">Honoraria-Novo Nordisk (Relationship has </w:t>
      </w:r>
      <w:proofErr w:type="gramStart"/>
      <w:r w:rsidRPr="003B6E60">
        <w:rPr>
          <w:rFonts w:ascii="Arial" w:eastAsia="Cambria" w:hAnsi="Arial" w:cs="Arial"/>
          <w:i/>
          <w:sz w:val="16"/>
          <w:szCs w:val="16"/>
          <w:highlight w:val="yellow"/>
        </w:rPr>
        <w:t>ended)|</w:t>
      </w:r>
      <w:proofErr w:type="gramEnd"/>
      <w:r w:rsidRPr="003B6E60">
        <w:rPr>
          <w:rFonts w:ascii="Arial" w:eastAsia="Cambria" w:hAnsi="Arial" w:cs="Arial"/>
          <w:i/>
          <w:sz w:val="16"/>
          <w:szCs w:val="16"/>
          <w:highlight w:val="yellow"/>
        </w:rPr>
        <w:t xml:space="preserve">Grant or research </w:t>
      </w:r>
      <w:proofErr w:type="spellStart"/>
      <w:r w:rsidRPr="003B6E60">
        <w:rPr>
          <w:rFonts w:ascii="Arial" w:eastAsia="Cambria" w:hAnsi="Arial" w:cs="Arial"/>
          <w:i/>
          <w:sz w:val="16"/>
          <w:szCs w:val="16"/>
          <w:highlight w:val="yellow"/>
        </w:rPr>
        <w:t>support-Pfizer|Honoraria-The</w:t>
      </w:r>
      <w:proofErr w:type="spellEnd"/>
      <w:r w:rsidRPr="003B6E60">
        <w:rPr>
          <w:rFonts w:ascii="Arial" w:eastAsia="Cambria" w:hAnsi="Arial" w:cs="Arial"/>
          <w:i/>
          <w:sz w:val="16"/>
          <w:szCs w:val="16"/>
          <w:highlight w:val="yellow"/>
        </w:rPr>
        <w:t xml:space="preserve"> Children's Hospital at Montefiore (Relationship has ended) - 05/02/2022</w:t>
      </w:r>
      <w:r>
        <w:t xml:space="preserve"> </w:t>
      </w:r>
    </w:p>
    <w:p w14:paraId="66CD3EFF" w14:textId="77777777" w:rsidR="003B6E60" w:rsidRPr="003B6E60" w:rsidRDefault="003B6E60" w:rsidP="003B6E60"/>
    <w:p w14:paraId="63D65AB0" w14:textId="77777777" w:rsidR="00C86889" w:rsidRPr="00512139" w:rsidRDefault="00E2119B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Education (ACCME) to provide continuing medical education for physicians.</w:t>
      </w:r>
    </w:p>
    <w:p w14:paraId="3162088D" w14:textId="77777777" w:rsidR="00C86889" w:rsidRPr="00512139" w:rsidRDefault="00E2119B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Physicians should only claim credit </w:t>
      </w:r>
      <w:r w:rsidRPr="00512139">
        <w:rPr>
          <w:rFonts w:ascii="Arial" w:eastAsia="Cambria" w:hAnsi="Arial" w:cs="Arial"/>
          <w:i/>
          <w:sz w:val="16"/>
          <w:szCs w:val="16"/>
        </w:rPr>
        <w:t>commensurate with the extent of their participation in the activity.</w:t>
      </w:r>
    </w:p>
    <w:p w14:paraId="1CE06D23" w14:textId="39765429" w:rsidR="00B85050" w:rsidRPr="003B6E60" w:rsidRDefault="00E2119B" w:rsidP="003B6E6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andrew.taylor@yale.edu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sectPr w:rsidR="00B85050" w:rsidRPr="003B6E6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622F" w14:textId="77777777" w:rsidR="00E2119B" w:rsidRDefault="00E2119B">
      <w:r>
        <w:separator/>
      </w:r>
    </w:p>
  </w:endnote>
  <w:endnote w:type="continuationSeparator" w:id="0">
    <w:p w14:paraId="75FBD74A" w14:textId="77777777" w:rsidR="00E2119B" w:rsidRDefault="00E2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6E28" w14:textId="77777777" w:rsidR="00E2119B" w:rsidRDefault="00E2119B">
      <w:r>
        <w:separator/>
      </w:r>
    </w:p>
  </w:footnote>
  <w:footnote w:type="continuationSeparator" w:id="0">
    <w:p w14:paraId="0E8FDBBE" w14:textId="77777777" w:rsidR="00E2119B" w:rsidRDefault="00E2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9FFC" w14:textId="77777777" w:rsidR="00525504" w:rsidRDefault="00E2119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A376567" wp14:editId="2A39DACA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E4"/>
    <w:rsid w:val="003222C8"/>
    <w:rsid w:val="003B6E60"/>
    <w:rsid w:val="00DE2EE4"/>
    <w:rsid w:val="00E2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0A9D"/>
  <w15:docId w15:val="{A9F1AD51-1A22-3547-9447-11B8C30E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Drew</cp:lastModifiedBy>
  <cp:revision>2</cp:revision>
  <dcterms:created xsi:type="dcterms:W3CDTF">2022-05-04T18:19:00Z</dcterms:created>
  <dcterms:modified xsi:type="dcterms:W3CDTF">2022-05-04T18:19:00Z</dcterms:modified>
</cp:coreProperties>
</file>