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A40A8" w14:textId="77777777" w:rsidR="00C56D8A" w:rsidRDefault="00C56D8A"/>
    <w:p w14:paraId="083F58C8" w14:textId="77777777" w:rsidR="00C56D8A" w:rsidRPr="00C56D8A" w:rsidRDefault="00C56D8A" w:rsidP="00C56D8A"/>
    <w:p w14:paraId="013DABEE" w14:textId="77777777" w:rsidR="00C56D8A" w:rsidRPr="002B4C7C" w:rsidRDefault="006B7272" w:rsidP="00C56D8A">
      <w:pPr>
        <w:pStyle w:val="BodyText"/>
        <w:spacing w:after="240"/>
        <w:rPr>
          <w:rFonts w:ascii="Garamond" w:hAnsi="Garamond"/>
          <w:b w:val="0"/>
          <w:bCs/>
          <w:sz w:val="32"/>
          <w:szCs w:val="32"/>
        </w:rPr>
      </w:pPr>
      <w:r>
        <w:rPr>
          <w:rFonts w:ascii="Garamond" w:hAnsi="Garamond" w:cs="Microsoft Sans Serif"/>
          <w:color w:val="333333"/>
          <w:sz w:val="32"/>
          <w:szCs w:val="32"/>
        </w:rPr>
        <w:t>Child Study Center Grand Rounds</w:t>
      </w:r>
    </w:p>
    <w:p w14:paraId="35F97093" w14:textId="77777777" w:rsidR="00C56D8A" w:rsidRPr="00900A44" w:rsidRDefault="00C56D8A" w:rsidP="00C56D8A">
      <w:pPr>
        <w:pStyle w:val="BodyText"/>
        <w:rPr>
          <w:rFonts w:ascii="Garamond" w:hAnsi="Garamond"/>
          <w:b w:val="0"/>
          <w:i/>
          <w:sz w:val="28"/>
          <w:szCs w:val="28"/>
        </w:rPr>
      </w:pPr>
      <w:r w:rsidRPr="00900A44">
        <w:rPr>
          <w:rFonts w:ascii="Garamond" w:hAnsi="Garamond"/>
          <w:b w:val="0"/>
          <w:i/>
          <w:sz w:val="28"/>
          <w:szCs w:val="28"/>
        </w:rPr>
        <w:t>Presented by</w:t>
      </w:r>
    </w:p>
    <w:p w14:paraId="3D608A33" w14:textId="77777777" w:rsidR="00C56D8A" w:rsidRPr="002B4C7C" w:rsidRDefault="00C56D8A" w:rsidP="00C56D8A">
      <w:pPr>
        <w:pStyle w:val="BodyText"/>
        <w:rPr>
          <w:sz w:val="28"/>
          <w:szCs w:val="28"/>
        </w:rPr>
      </w:pPr>
      <w:r w:rsidRPr="002B4C7C">
        <w:rPr>
          <w:sz w:val="28"/>
          <w:szCs w:val="28"/>
        </w:rPr>
        <w:t>Yale Schoo</w:t>
      </w:r>
      <w:r w:rsidR="004B7394">
        <w:rPr>
          <w:sz w:val="28"/>
          <w:szCs w:val="28"/>
        </w:rPr>
        <w:t xml:space="preserve">l of Medicine’s Department of </w:t>
      </w:r>
      <w:r w:rsidR="006B7272">
        <w:rPr>
          <w:sz w:val="28"/>
          <w:szCs w:val="28"/>
        </w:rPr>
        <w:t>Child Study Center</w:t>
      </w:r>
    </w:p>
    <w:p w14:paraId="3BA2A0D1" w14:textId="77777777" w:rsidR="00F75FDE" w:rsidRDefault="00F75FDE" w:rsidP="00C56D8A"/>
    <w:p w14:paraId="6900470B" w14:textId="5BF0BC32" w:rsidR="00C456E2" w:rsidRDefault="00A723B1" w:rsidP="00C56D8A">
      <w:pPr>
        <w:jc w:val="center"/>
        <w:rPr>
          <w:b/>
          <w:color w:val="FF0000"/>
          <w:sz w:val="22"/>
          <w:szCs w:val="22"/>
        </w:rPr>
      </w:pPr>
      <w:r w:rsidRPr="00A723B1">
        <w:rPr>
          <w:b/>
          <w:color w:val="FF0000"/>
          <w:sz w:val="32"/>
          <w:szCs w:val="32"/>
        </w:rPr>
        <w:t>"</w:t>
      </w:r>
      <w:r w:rsidR="00050ADA" w:rsidRPr="00EB465A">
        <w:rPr>
          <w:b/>
          <w:bCs/>
          <w:color w:val="FF0000"/>
          <w:sz w:val="32"/>
          <w:szCs w:val="32"/>
        </w:rPr>
        <w:t>Controversies in Treating Transgender Children and Adolescents</w:t>
      </w:r>
      <w:r w:rsidRPr="00A723B1">
        <w:rPr>
          <w:b/>
          <w:color w:val="FF0000"/>
          <w:sz w:val="32"/>
          <w:szCs w:val="32"/>
        </w:rPr>
        <w:t>"</w:t>
      </w:r>
    </w:p>
    <w:p w14:paraId="3D70AF65" w14:textId="77777777" w:rsidR="00050ADA" w:rsidRPr="00050ADA" w:rsidRDefault="00050ADA" w:rsidP="00C56D8A">
      <w:pPr>
        <w:jc w:val="center"/>
        <w:rPr>
          <w:b/>
          <w:color w:val="FF0000"/>
          <w:sz w:val="22"/>
          <w:szCs w:val="22"/>
        </w:rPr>
      </w:pPr>
    </w:p>
    <w:p w14:paraId="7F5CDD88" w14:textId="77777777" w:rsidR="00050ADA" w:rsidRPr="00050ADA" w:rsidRDefault="00050ADA" w:rsidP="00050ADA">
      <w:pPr>
        <w:jc w:val="center"/>
        <w:rPr>
          <w:b/>
          <w:bCs/>
          <w:sz w:val="28"/>
          <w:szCs w:val="28"/>
        </w:rPr>
      </w:pPr>
      <w:r w:rsidRPr="00050ADA">
        <w:rPr>
          <w:b/>
          <w:bCs/>
          <w:sz w:val="28"/>
          <w:szCs w:val="28"/>
        </w:rPr>
        <w:t>Jack Drescher, MD</w:t>
      </w:r>
    </w:p>
    <w:p w14:paraId="28ABB94C" w14:textId="77777777" w:rsidR="00050ADA" w:rsidRPr="009C7D27" w:rsidRDefault="00050ADA" w:rsidP="00050ADA">
      <w:pPr>
        <w:jc w:val="center"/>
      </w:pPr>
      <w:r w:rsidRPr="009C7D27">
        <w:t>Clinical Professor of Psychiatry, Columbia University</w:t>
      </w:r>
    </w:p>
    <w:p w14:paraId="5EF05B12" w14:textId="77777777" w:rsidR="00050ADA" w:rsidRPr="009C7D27" w:rsidRDefault="00050ADA" w:rsidP="00050ADA">
      <w:pPr>
        <w:jc w:val="center"/>
      </w:pPr>
      <w:r w:rsidRPr="009C7D27">
        <w:t>Adjunct Professor, New York University</w:t>
      </w:r>
    </w:p>
    <w:p w14:paraId="45E29FCC" w14:textId="77777777" w:rsidR="00050ADA" w:rsidRPr="009C7D27" w:rsidRDefault="00050ADA" w:rsidP="00050ADA">
      <w:pPr>
        <w:jc w:val="center"/>
      </w:pPr>
      <w:r w:rsidRPr="009C7D27">
        <w:t>Section Editor, DSM-5-TR Chapter on Gender Dysphoria</w:t>
      </w:r>
    </w:p>
    <w:p w14:paraId="6D2264A7" w14:textId="28372004" w:rsidR="00C56D8A" w:rsidRPr="00C84B3A" w:rsidRDefault="004B7394" w:rsidP="00C56D8A">
      <w:pPr>
        <w:spacing w:before="240"/>
        <w:jc w:val="center"/>
        <w:rPr>
          <w:b/>
        </w:rPr>
      </w:pPr>
      <w:r w:rsidRPr="00C84B3A">
        <w:rPr>
          <w:b/>
        </w:rPr>
        <w:t xml:space="preserve">Date: </w:t>
      </w:r>
      <w:r w:rsidR="00050ADA">
        <w:rPr>
          <w:b/>
        </w:rPr>
        <w:t>November 17</w:t>
      </w:r>
      <w:r w:rsidR="00C84B3A">
        <w:rPr>
          <w:b/>
        </w:rPr>
        <w:t xml:space="preserve"> @ 1:00</w:t>
      </w:r>
      <w:r w:rsidR="00050ADA">
        <w:rPr>
          <w:b/>
        </w:rPr>
        <w:t xml:space="preserve"> Virtual Grand Rounds</w:t>
      </w:r>
    </w:p>
    <w:p w14:paraId="11FA1E55" w14:textId="77777777" w:rsidR="00050ADA" w:rsidRPr="00C82E7C" w:rsidRDefault="00050ADA" w:rsidP="00050ADA">
      <w:pPr>
        <w:pStyle w:val="PlainText"/>
        <w:spacing w:line="276" w:lineRule="auto"/>
        <w:jc w:val="center"/>
        <w:rPr>
          <w:b/>
          <w:bCs/>
        </w:rPr>
      </w:pPr>
      <w:hyperlink r:id="rId7" w:history="1">
        <w:r w:rsidRPr="00C82E7C">
          <w:rPr>
            <w:rStyle w:val="Hyperlink"/>
            <w:b/>
            <w:bCs/>
          </w:rPr>
          <w:t>https://zoom.us/j/97271063445?pwd=V3NqbkVPVnAwYTZidWVWaEFML2xNUT09</w:t>
        </w:r>
      </w:hyperlink>
    </w:p>
    <w:p w14:paraId="4B6F3D80" w14:textId="77777777" w:rsidR="00C56D8A" w:rsidRPr="00C84B3A" w:rsidRDefault="00C56D8A" w:rsidP="00C56D8A">
      <w:pPr>
        <w:rPr>
          <w:b/>
          <w:sz w:val="28"/>
          <w:szCs w:val="28"/>
        </w:rPr>
      </w:pPr>
    </w:p>
    <w:p w14:paraId="0597414D" w14:textId="77777777" w:rsidR="00C56D8A" w:rsidRPr="00C84B3A" w:rsidRDefault="004B7394" w:rsidP="00C56D8A">
      <w:pPr>
        <w:jc w:val="center"/>
        <w:rPr>
          <w:b/>
        </w:rPr>
      </w:pPr>
      <w:r w:rsidRPr="00C84B3A">
        <w:rPr>
          <w:b/>
        </w:rPr>
        <w:t>Course Director</w:t>
      </w:r>
      <w:r w:rsidR="00C84B3A">
        <w:rPr>
          <w:b/>
        </w:rPr>
        <w:t>: Andres Martin, MD, MPH</w:t>
      </w:r>
    </w:p>
    <w:p w14:paraId="16B0ECBC" w14:textId="77777777" w:rsidR="00C56D8A" w:rsidRPr="00C84B3A" w:rsidRDefault="00C56D8A" w:rsidP="00C56D8A">
      <w:pPr>
        <w:spacing w:before="240"/>
        <w:jc w:val="center"/>
        <w:rPr>
          <w:b/>
          <w:i/>
          <w:sz w:val="22"/>
          <w:szCs w:val="22"/>
        </w:rPr>
      </w:pPr>
      <w:r w:rsidRPr="00C84B3A">
        <w:rPr>
          <w:b/>
          <w:i/>
          <w:sz w:val="22"/>
          <w:szCs w:val="22"/>
        </w:rPr>
        <w:t>There is no corporate support for this activity</w:t>
      </w:r>
    </w:p>
    <w:p w14:paraId="1C769FE5" w14:textId="77777777" w:rsidR="00C56D8A" w:rsidRPr="00C84B3A" w:rsidRDefault="00C56D8A" w:rsidP="00C56D8A">
      <w:pPr>
        <w:jc w:val="center"/>
        <w:rPr>
          <w:sz w:val="22"/>
          <w:szCs w:val="22"/>
        </w:rPr>
      </w:pPr>
      <w:r w:rsidRPr="00C84B3A">
        <w:rPr>
          <w:sz w:val="22"/>
          <w:szCs w:val="22"/>
        </w:rPr>
        <w:t>This course will fulfill the licensure requirement set forth by the State of Connecticut</w:t>
      </w:r>
    </w:p>
    <w:p w14:paraId="0DE0E57E" w14:textId="77777777" w:rsidR="00C56D8A" w:rsidRPr="00C84B3A" w:rsidRDefault="00C56D8A" w:rsidP="00C56D8A">
      <w:pPr>
        <w:jc w:val="center"/>
      </w:pPr>
    </w:p>
    <w:p w14:paraId="07D0C953" w14:textId="77777777" w:rsidR="00DD2BF3" w:rsidRPr="00C84B3A" w:rsidRDefault="00DD2BF3" w:rsidP="00DD2BF3">
      <w:pPr>
        <w:rPr>
          <w:sz w:val="20"/>
          <w:szCs w:val="20"/>
        </w:rPr>
        <w:sectPr w:rsidR="00DD2BF3" w:rsidRPr="00C84B3A" w:rsidSect="00C56D8A">
          <w:headerReference w:type="default" r:id="rId8"/>
          <w:pgSz w:w="12240" w:h="15840"/>
          <w:pgMar w:top="720" w:right="720" w:bottom="720" w:left="720" w:header="720" w:footer="720" w:gutter="0"/>
          <w:cols w:space="720"/>
          <w:docGrid w:linePitch="360"/>
        </w:sectPr>
      </w:pPr>
    </w:p>
    <w:p w14:paraId="6FC8319E" w14:textId="77777777" w:rsidR="00C456E2" w:rsidRDefault="00C456E2" w:rsidP="00DD2BF3">
      <w:pPr>
        <w:rPr>
          <w:b/>
          <w:sz w:val="20"/>
          <w:szCs w:val="20"/>
          <w:u w:val="single"/>
        </w:rPr>
      </w:pPr>
    </w:p>
    <w:p w14:paraId="6E246AA3" w14:textId="77777777" w:rsidR="00C456E2" w:rsidRDefault="00C456E2" w:rsidP="00DD2BF3">
      <w:pPr>
        <w:rPr>
          <w:b/>
          <w:sz w:val="20"/>
          <w:szCs w:val="20"/>
          <w:u w:val="single"/>
        </w:rPr>
      </w:pPr>
    </w:p>
    <w:p w14:paraId="061BF351" w14:textId="77777777" w:rsidR="00DD2BF3" w:rsidRPr="00C84B3A" w:rsidRDefault="00DD2BF3" w:rsidP="00DD2BF3">
      <w:pPr>
        <w:rPr>
          <w:b/>
          <w:sz w:val="20"/>
          <w:szCs w:val="20"/>
          <w:u w:val="single"/>
        </w:rPr>
      </w:pPr>
      <w:r w:rsidRPr="00C84B3A">
        <w:rPr>
          <w:b/>
          <w:sz w:val="20"/>
          <w:szCs w:val="20"/>
          <w:u w:val="single"/>
        </w:rPr>
        <w:t>ACCREDITATION</w:t>
      </w:r>
    </w:p>
    <w:p w14:paraId="795226E4" w14:textId="77777777" w:rsidR="00DD2BF3" w:rsidRPr="00C84B3A" w:rsidRDefault="00DD2BF3" w:rsidP="00DD2BF3">
      <w:pPr>
        <w:rPr>
          <w:sz w:val="20"/>
          <w:szCs w:val="20"/>
        </w:rPr>
      </w:pPr>
      <w:r w:rsidRPr="00C84B3A">
        <w:rPr>
          <w:sz w:val="20"/>
          <w:szCs w:val="20"/>
        </w:rPr>
        <w:t>The Yale School of Medicine is accredited by the Accreditation Council for Continuing Medical Education to provide continuing medical education for physicians.</w:t>
      </w:r>
    </w:p>
    <w:p w14:paraId="5FAAE912" w14:textId="77777777" w:rsidR="00DD2BF3" w:rsidRPr="00C84B3A" w:rsidRDefault="00DD2BF3" w:rsidP="00DD2BF3">
      <w:pPr>
        <w:rPr>
          <w:sz w:val="20"/>
          <w:szCs w:val="20"/>
        </w:rPr>
      </w:pPr>
    </w:p>
    <w:p w14:paraId="3ABC3546" w14:textId="77777777" w:rsidR="00DD2BF3" w:rsidRPr="00C84B3A" w:rsidRDefault="00DD2BF3" w:rsidP="00DD2BF3">
      <w:pPr>
        <w:rPr>
          <w:b/>
          <w:sz w:val="20"/>
          <w:szCs w:val="20"/>
          <w:u w:val="single"/>
        </w:rPr>
      </w:pPr>
      <w:r w:rsidRPr="00C84B3A">
        <w:rPr>
          <w:b/>
          <w:sz w:val="20"/>
          <w:szCs w:val="20"/>
          <w:u w:val="single"/>
        </w:rPr>
        <w:t>TARGET AUDIENCE</w:t>
      </w:r>
    </w:p>
    <w:p w14:paraId="6154A12F" w14:textId="77777777" w:rsidR="000D05F3" w:rsidRPr="00C84B3A" w:rsidRDefault="000D05F3" w:rsidP="000D05F3">
      <w:pPr>
        <w:rPr>
          <w:sz w:val="20"/>
          <w:szCs w:val="20"/>
        </w:rPr>
      </w:pPr>
      <w:r w:rsidRPr="00C84B3A">
        <w:rPr>
          <w:sz w:val="20"/>
          <w:szCs w:val="20"/>
        </w:rPr>
        <w:t>Trainees in child psychiatry, psychology, and social work, faculty, clinicians, scientists</w:t>
      </w:r>
    </w:p>
    <w:p w14:paraId="06B8715A" w14:textId="77777777" w:rsidR="00DD2BF3" w:rsidRPr="00C84B3A" w:rsidRDefault="00DD2BF3" w:rsidP="00DD2BF3">
      <w:pPr>
        <w:rPr>
          <w:sz w:val="20"/>
          <w:szCs w:val="20"/>
        </w:rPr>
      </w:pPr>
    </w:p>
    <w:p w14:paraId="6CE14509" w14:textId="77777777" w:rsidR="00DD2BF3" w:rsidRPr="00C84B3A" w:rsidRDefault="00DD2BF3" w:rsidP="00DD2BF3">
      <w:pPr>
        <w:rPr>
          <w:sz w:val="20"/>
          <w:szCs w:val="20"/>
        </w:rPr>
      </w:pPr>
    </w:p>
    <w:p w14:paraId="19226514" w14:textId="77777777" w:rsidR="00DD2BF3" w:rsidRPr="00C84B3A" w:rsidRDefault="00DD2BF3" w:rsidP="00DD2BF3">
      <w:pPr>
        <w:rPr>
          <w:b/>
          <w:sz w:val="20"/>
          <w:szCs w:val="20"/>
          <w:u w:val="single"/>
        </w:rPr>
      </w:pPr>
      <w:bookmarkStart w:id="0" w:name="_Hlk10447154"/>
      <w:r w:rsidRPr="00C84B3A">
        <w:rPr>
          <w:b/>
          <w:sz w:val="20"/>
          <w:szCs w:val="20"/>
          <w:u w:val="single"/>
        </w:rPr>
        <w:t>LEARNING OBJECTIVES</w:t>
      </w:r>
    </w:p>
    <w:bookmarkEnd w:id="0"/>
    <w:p w14:paraId="578C7F04" w14:textId="77777777" w:rsidR="00DD2BF3" w:rsidRPr="00C84B3A" w:rsidRDefault="00DD2BF3" w:rsidP="00DD2BF3">
      <w:pPr>
        <w:rPr>
          <w:sz w:val="20"/>
          <w:szCs w:val="20"/>
        </w:rPr>
      </w:pPr>
      <w:r w:rsidRPr="00C84B3A">
        <w:rPr>
          <w:sz w:val="20"/>
          <w:szCs w:val="20"/>
        </w:rPr>
        <w:t>At the conclusion of this activity, participants will be able to:</w:t>
      </w:r>
    </w:p>
    <w:p w14:paraId="43F1929F" w14:textId="77777777" w:rsidR="00C45D58" w:rsidRPr="00C84B3A" w:rsidRDefault="00C45D58" w:rsidP="00DD2BF3">
      <w:pPr>
        <w:rPr>
          <w:sz w:val="20"/>
          <w:szCs w:val="20"/>
        </w:rPr>
      </w:pPr>
    </w:p>
    <w:p w14:paraId="136659F3" w14:textId="20F65D9C" w:rsidR="00050ADA" w:rsidRPr="00050ADA" w:rsidRDefault="00050ADA" w:rsidP="00050ADA">
      <w:pPr>
        <w:pStyle w:val="ListParagraph"/>
        <w:numPr>
          <w:ilvl w:val="0"/>
          <w:numId w:val="2"/>
        </w:numPr>
        <w:rPr>
          <w:sz w:val="20"/>
          <w:szCs w:val="20"/>
        </w:rPr>
      </w:pPr>
      <w:r w:rsidRPr="00050ADA">
        <w:rPr>
          <w:sz w:val="20"/>
          <w:szCs w:val="20"/>
        </w:rPr>
        <w:t xml:space="preserve">Identify three current, differing treatment approaches for children with Gender Dysphoria in Childhood </w:t>
      </w:r>
    </w:p>
    <w:p w14:paraId="3E712227" w14:textId="591E6F70" w:rsidR="00050ADA" w:rsidRPr="00050ADA" w:rsidRDefault="00050ADA" w:rsidP="00050ADA">
      <w:pPr>
        <w:pStyle w:val="ListParagraph"/>
        <w:numPr>
          <w:ilvl w:val="0"/>
          <w:numId w:val="2"/>
        </w:numPr>
        <w:rPr>
          <w:sz w:val="20"/>
          <w:szCs w:val="20"/>
        </w:rPr>
      </w:pPr>
      <w:r w:rsidRPr="00050ADA">
        <w:rPr>
          <w:sz w:val="20"/>
          <w:szCs w:val="20"/>
        </w:rPr>
        <w:t>Recognize the controversies in the wider culture regarding the treatment of gender dysphoric children and adolescents and how they affect clinical practice and research</w:t>
      </w:r>
    </w:p>
    <w:p w14:paraId="79239EFD" w14:textId="153807DA" w:rsidR="00050ADA" w:rsidRPr="00050ADA" w:rsidRDefault="00050ADA" w:rsidP="00050ADA">
      <w:pPr>
        <w:pStyle w:val="ListParagraph"/>
        <w:numPr>
          <w:ilvl w:val="0"/>
          <w:numId w:val="2"/>
        </w:numPr>
        <w:rPr>
          <w:sz w:val="20"/>
          <w:szCs w:val="20"/>
        </w:rPr>
      </w:pPr>
      <w:r w:rsidRPr="00050ADA">
        <w:rPr>
          <w:spacing w:val="-5"/>
          <w:sz w:val="20"/>
          <w:szCs w:val="20"/>
        </w:rPr>
        <w:t>Manage and arrange for appropriate treatments, consultations and referrals of children and adolescents with Gender Dysphoria</w:t>
      </w:r>
      <w:r w:rsidRPr="00050ADA">
        <w:rPr>
          <w:sz w:val="20"/>
          <w:szCs w:val="20"/>
        </w:rPr>
        <w:t xml:space="preserve"> </w:t>
      </w:r>
    </w:p>
    <w:p w14:paraId="7E1EF5D8" w14:textId="77777777" w:rsidR="006B7272" w:rsidRPr="00C84B3A" w:rsidRDefault="006B7272" w:rsidP="00DD2BF3">
      <w:pPr>
        <w:rPr>
          <w:b/>
          <w:sz w:val="20"/>
          <w:szCs w:val="20"/>
          <w:u w:val="single"/>
        </w:rPr>
      </w:pPr>
    </w:p>
    <w:p w14:paraId="04CA5E07" w14:textId="77777777" w:rsidR="00A723B1" w:rsidRDefault="00A723B1" w:rsidP="00A723B1">
      <w:pPr>
        <w:rPr>
          <w:b/>
          <w:sz w:val="20"/>
          <w:szCs w:val="20"/>
          <w:u w:val="single"/>
        </w:rPr>
      </w:pPr>
      <w:r>
        <w:rPr>
          <w:b/>
          <w:sz w:val="20"/>
          <w:szCs w:val="20"/>
          <w:u w:val="single"/>
        </w:rPr>
        <w:t>NEEDS ASSESSMENT</w:t>
      </w:r>
      <w:bookmarkStart w:id="1" w:name="_GoBack"/>
      <w:bookmarkEnd w:id="1"/>
    </w:p>
    <w:p w14:paraId="064BB652" w14:textId="77777777" w:rsidR="00050ADA" w:rsidRPr="009C7D27" w:rsidRDefault="00050ADA" w:rsidP="00050ADA">
      <w:pPr>
        <w:rPr>
          <w:sz w:val="20"/>
          <w:szCs w:val="20"/>
        </w:rPr>
      </w:pPr>
      <w:r w:rsidRPr="009C7D27">
        <w:rPr>
          <w:sz w:val="20"/>
          <w:szCs w:val="20"/>
        </w:rPr>
        <w:t xml:space="preserve">This presentation will present information and controversies regarding the treatment of children with gender dysphoria or gender incongruence. Since this is a relatively small patient population, most clinicians will have had little </w:t>
      </w:r>
      <w:proofErr w:type="gramStart"/>
      <w:r w:rsidRPr="009C7D27">
        <w:rPr>
          <w:sz w:val="20"/>
          <w:szCs w:val="20"/>
        </w:rPr>
        <w:t>past experience</w:t>
      </w:r>
      <w:proofErr w:type="gramEnd"/>
      <w:r w:rsidRPr="009C7D27">
        <w:rPr>
          <w:sz w:val="20"/>
          <w:szCs w:val="20"/>
        </w:rPr>
        <w:t xml:space="preserve"> working with these patients.</w:t>
      </w:r>
    </w:p>
    <w:p w14:paraId="195AFF64" w14:textId="77777777" w:rsidR="00C456E2" w:rsidRDefault="00C456E2" w:rsidP="00DD2BF3">
      <w:pPr>
        <w:rPr>
          <w:b/>
          <w:sz w:val="20"/>
          <w:szCs w:val="20"/>
          <w:u w:val="single"/>
        </w:rPr>
      </w:pPr>
    </w:p>
    <w:p w14:paraId="53046C34" w14:textId="77777777" w:rsidR="00C456E2" w:rsidRDefault="00C456E2" w:rsidP="00DD2BF3">
      <w:pPr>
        <w:rPr>
          <w:b/>
          <w:sz w:val="20"/>
          <w:szCs w:val="20"/>
          <w:u w:val="single"/>
        </w:rPr>
      </w:pPr>
    </w:p>
    <w:p w14:paraId="6BB7EEAA" w14:textId="77777777" w:rsidR="00C456E2" w:rsidRDefault="00C456E2" w:rsidP="00DD2BF3">
      <w:pPr>
        <w:rPr>
          <w:b/>
          <w:sz w:val="20"/>
          <w:szCs w:val="20"/>
          <w:u w:val="single"/>
        </w:rPr>
      </w:pPr>
    </w:p>
    <w:p w14:paraId="0A4BDF8E" w14:textId="77777777" w:rsidR="00C456E2" w:rsidRDefault="00C456E2" w:rsidP="00DD2BF3">
      <w:pPr>
        <w:rPr>
          <w:b/>
          <w:sz w:val="20"/>
          <w:szCs w:val="20"/>
          <w:u w:val="single"/>
        </w:rPr>
      </w:pPr>
    </w:p>
    <w:p w14:paraId="7406F2CC" w14:textId="77777777" w:rsidR="00454473" w:rsidRPr="00454473" w:rsidRDefault="00454473" w:rsidP="00DD2BF3">
      <w:pPr>
        <w:rPr>
          <w:b/>
          <w:sz w:val="20"/>
          <w:szCs w:val="20"/>
          <w:u w:val="single"/>
        </w:rPr>
      </w:pPr>
      <w:r w:rsidRPr="00454473">
        <w:rPr>
          <w:b/>
          <w:sz w:val="20"/>
          <w:szCs w:val="20"/>
          <w:u w:val="single"/>
        </w:rPr>
        <w:t>DESIGNATION STATEMENT</w:t>
      </w:r>
    </w:p>
    <w:p w14:paraId="499D671B" w14:textId="77777777" w:rsidR="00DD2BF3" w:rsidRPr="00C84B3A" w:rsidRDefault="00DD2BF3" w:rsidP="00DD2BF3">
      <w:pPr>
        <w:rPr>
          <w:sz w:val="20"/>
          <w:szCs w:val="20"/>
        </w:rPr>
      </w:pPr>
      <w:r w:rsidRPr="00C84B3A">
        <w:rPr>
          <w:sz w:val="20"/>
          <w:szCs w:val="20"/>
        </w:rPr>
        <w:t xml:space="preserve">The Yale School of Medicine designates this live activity for 1 AMA PRA Category 1 Credit(s)™.  Physicians should only claim the credit commensurate with the extent of their participation in the activity. </w:t>
      </w:r>
    </w:p>
    <w:p w14:paraId="36895F56" w14:textId="77777777" w:rsidR="004B7394" w:rsidRPr="00C84B3A" w:rsidRDefault="004B7394" w:rsidP="00DD2BF3">
      <w:pPr>
        <w:rPr>
          <w:b/>
          <w:sz w:val="20"/>
          <w:szCs w:val="20"/>
          <w:u w:val="single"/>
        </w:rPr>
      </w:pPr>
    </w:p>
    <w:p w14:paraId="4F1B28A1" w14:textId="77777777" w:rsidR="00DD2BF3" w:rsidRPr="00C84B3A" w:rsidRDefault="00DD2BF3" w:rsidP="00DD2BF3">
      <w:pPr>
        <w:rPr>
          <w:b/>
          <w:sz w:val="20"/>
          <w:szCs w:val="20"/>
          <w:u w:val="single"/>
        </w:rPr>
      </w:pPr>
      <w:r w:rsidRPr="00C84B3A">
        <w:rPr>
          <w:b/>
          <w:sz w:val="20"/>
          <w:szCs w:val="20"/>
          <w:u w:val="single"/>
        </w:rPr>
        <w:t>FACULTY DISCLOSURES</w:t>
      </w:r>
    </w:p>
    <w:p w14:paraId="5FF27FC7" w14:textId="6A7D477F" w:rsidR="00DD2BF3" w:rsidRPr="00C84B3A" w:rsidRDefault="00050ADA" w:rsidP="00DD2BF3">
      <w:pPr>
        <w:rPr>
          <w:sz w:val="20"/>
          <w:szCs w:val="20"/>
        </w:rPr>
      </w:pPr>
      <w:r>
        <w:rPr>
          <w:sz w:val="20"/>
          <w:szCs w:val="20"/>
        </w:rPr>
        <w:t>James Drescher</w:t>
      </w:r>
      <w:r w:rsidR="00F13383">
        <w:rPr>
          <w:sz w:val="20"/>
          <w:szCs w:val="20"/>
        </w:rPr>
        <w:t>: NONE</w:t>
      </w:r>
    </w:p>
    <w:p w14:paraId="751CE695" w14:textId="77777777" w:rsidR="004B7394" w:rsidRPr="00C84B3A" w:rsidRDefault="006B7272" w:rsidP="004B7394">
      <w:pPr>
        <w:rPr>
          <w:sz w:val="20"/>
          <w:szCs w:val="20"/>
        </w:rPr>
      </w:pPr>
      <w:r w:rsidRPr="00C84B3A">
        <w:rPr>
          <w:sz w:val="20"/>
          <w:szCs w:val="20"/>
        </w:rPr>
        <w:t>Andres Martin:  NONE</w:t>
      </w:r>
    </w:p>
    <w:p w14:paraId="70C6D48B" w14:textId="77777777" w:rsidR="00DD2BF3" w:rsidRPr="00C84B3A" w:rsidRDefault="00DD2BF3" w:rsidP="00DD2BF3">
      <w:pPr>
        <w:rPr>
          <w:sz w:val="20"/>
          <w:szCs w:val="20"/>
        </w:rPr>
      </w:pPr>
    </w:p>
    <w:p w14:paraId="16D4C06D" w14:textId="77777777" w:rsidR="00C56D8A" w:rsidRPr="00DD2BF3" w:rsidRDefault="00DD2BF3" w:rsidP="00DD2BF3">
      <w:pPr>
        <w:rPr>
          <w:sz w:val="20"/>
          <w:szCs w:val="20"/>
        </w:rPr>
      </w:pPr>
      <w:r w:rsidRPr="00C84B3A">
        <w:rPr>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w:t>
      </w:r>
      <w:r w:rsidRPr="00DD2BF3">
        <w:rPr>
          <w:sz w:val="20"/>
          <w:szCs w:val="20"/>
        </w:rPr>
        <w:t xml:space="preserve"> affect the content of CME about the products or services of the commercial interests.  The Center for Continuing Medical Education will ensure that any conflicts of interest are resolved before the educational activity occurs.</w:t>
      </w:r>
    </w:p>
    <w:sectPr w:rsidR="00C56D8A" w:rsidRPr="00DD2BF3" w:rsidSect="00DD2BF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71B2F" w14:textId="77777777" w:rsidR="00C56D8A" w:rsidRDefault="00C56D8A" w:rsidP="00C56D8A">
      <w:r>
        <w:separator/>
      </w:r>
    </w:p>
  </w:endnote>
  <w:endnote w:type="continuationSeparator" w:id="0">
    <w:p w14:paraId="33B5C155" w14:textId="77777777" w:rsidR="00C56D8A" w:rsidRDefault="00C56D8A"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6C6AC" w14:textId="77777777" w:rsidR="00C56D8A" w:rsidRDefault="00C56D8A" w:rsidP="00C56D8A">
      <w:r>
        <w:separator/>
      </w:r>
    </w:p>
  </w:footnote>
  <w:footnote w:type="continuationSeparator" w:id="0">
    <w:p w14:paraId="52DB3771" w14:textId="77777777" w:rsidR="00C56D8A" w:rsidRDefault="00C56D8A"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14E70" w14:textId="77777777" w:rsidR="00C56D8A" w:rsidRPr="00C56D8A" w:rsidRDefault="00C56D8A" w:rsidP="000C6878">
    <w:pPr>
      <w:pStyle w:val="Header"/>
      <w:tabs>
        <w:tab w:val="clear" w:pos="4680"/>
        <w:tab w:val="clear" w:pos="9360"/>
        <w:tab w:val="left" w:pos="2280"/>
      </w:tabs>
      <w:rPr>
        <w:b/>
      </w:rPr>
    </w:pPr>
    <w:r w:rsidRPr="00C56D8A">
      <w:rPr>
        <w:b/>
        <w:noProof/>
      </w:rPr>
      <w:drawing>
        <wp:anchor distT="0" distB="0" distL="114300" distR="114300" simplePos="0" relativeHeight="251659264" behindDoc="1" locked="0" layoutInCell="1" allowOverlap="1" wp14:anchorId="0838EA4B" wp14:editId="0A80E59D">
          <wp:simplePos x="0" y="0"/>
          <wp:positionH relativeFrom="column">
            <wp:posOffset>-259080</wp:posOffset>
          </wp:positionH>
          <wp:positionV relativeFrom="paragraph">
            <wp:posOffset>-327660</wp:posOffset>
          </wp:positionV>
          <wp:extent cx="774065" cy="830580"/>
          <wp:effectExtent l="0" t="0" r="6985" b="7620"/>
          <wp:wrapTight wrapText="bothSides">
            <wp:wrapPolygon edited="0">
              <wp:start x="0" y="0"/>
              <wp:lineTo x="0" y="21303"/>
              <wp:lineTo x="21263" y="21303"/>
              <wp:lineTo x="21263" y="0"/>
              <wp:lineTo x="0" y="0"/>
            </wp:wrapPolygon>
          </wp:wrapTight>
          <wp:docPr id="3" name="Picture 3"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8240" behindDoc="0" locked="0" layoutInCell="1" allowOverlap="1" wp14:anchorId="0DF56B84" wp14:editId="1B2A5244">
          <wp:simplePos x="0" y="0"/>
          <wp:positionH relativeFrom="column">
            <wp:posOffset>5408295</wp:posOffset>
          </wp:positionH>
          <wp:positionV relativeFrom="paragraph">
            <wp:posOffset>-198120</wp:posOffset>
          </wp:positionV>
          <wp:extent cx="1737360" cy="4756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1796A"/>
    <w:multiLevelType w:val="hybridMultilevel"/>
    <w:tmpl w:val="6E80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07D3F"/>
    <w:multiLevelType w:val="hybridMultilevel"/>
    <w:tmpl w:val="35406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A1C"/>
    <w:rsid w:val="00050ADA"/>
    <w:rsid w:val="000C6878"/>
    <w:rsid w:val="000D05F3"/>
    <w:rsid w:val="00357576"/>
    <w:rsid w:val="00454473"/>
    <w:rsid w:val="00456098"/>
    <w:rsid w:val="004B7394"/>
    <w:rsid w:val="006B7272"/>
    <w:rsid w:val="007A7132"/>
    <w:rsid w:val="00A46992"/>
    <w:rsid w:val="00A723B1"/>
    <w:rsid w:val="00C11A1C"/>
    <w:rsid w:val="00C456E2"/>
    <w:rsid w:val="00C45D58"/>
    <w:rsid w:val="00C56D8A"/>
    <w:rsid w:val="00C84B3A"/>
    <w:rsid w:val="00DD2BF3"/>
    <w:rsid w:val="00DF5E20"/>
    <w:rsid w:val="00F13383"/>
    <w:rsid w:val="00F7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EFAD29"/>
  <w15:chartTrackingRefBased/>
  <w15:docId w15:val="{C8A8C66E-4F3D-457D-9F0E-86DD211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paragraph" w:styleId="ListParagraph">
    <w:name w:val="List Paragraph"/>
    <w:basedOn w:val="Normal"/>
    <w:uiPriority w:val="34"/>
    <w:qFormat/>
    <w:rsid w:val="00F13383"/>
    <w:pPr>
      <w:ind w:left="720"/>
      <w:contextualSpacing/>
    </w:pPr>
  </w:style>
  <w:style w:type="paragraph" w:styleId="PlainText">
    <w:name w:val="Plain Text"/>
    <w:basedOn w:val="Normal"/>
    <w:link w:val="PlainTextChar"/>
    <w:uiPriority w:val="99"/>
    <w:semiHidden/>
    <w:unhideWhenUsed/>
    <w:rsid w:val="00C456E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456E2"/>
    <w:rPr>
      <w:rFonts w:ascii="Calibri" w:hAnsi="Calibri"/>
      <w:szCs w:val="21"/>
    </w:rPr>
  </w:style>
  <w:style w:type="character" w:styleId="Hyperlink">
    <w:name w:val="Hyperlink"/>
    <w:basedOn w:val="DefaultParagraphFont"/>
    <w:uiPriority w:val="99"/>
    <w:semiHidden/>
    <w:unhideWhenUsed/>
    <w:rsid w:val="00050A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82967">
      <w:bodyDiv w:val="1"/>
      <w:marLeft w:val="0"/>
      <w:marRight w:val="0"/>
      <w:marTop w:val="0"/>
      <w:marBottom w:val="0"/>
      <w:divBdr>
        <w:top w:val="none" w:sz="0" w:space="0" w:color="auto"/>
        <w:left w:val="none" w:sz="0" w:space="0" w:color="auto"/>
        <w:bottom w:val="none" w:sz="0" w:space="0" w:color="auto"/>
        <w:right w:val="none" w:sz="0" w:space="0" w:color="auto"/>
      </w:divBdr>
    </w:div>
    <w:div w:id="1235776257">
      <w:bodyDiv w:val="1"/>
      <w:marLeft w:val="0"/>
      <w:marRight w:val="0"/>
      <w:marTop w:val="0"/>
      <w:marBottom w:val="0"/>
      <w:divBdr>
        <w:top w:val="none" w:sz="0" w:space="0" w:color="auto"/>
        <w:left w:val="none" w:sz="0" w:space="0" w:color="auto"/>
        <w:bottom w:val="none" w:sz="0" w:space="0" w:color="auto"/>
        <w:right w:val="none" w:sz="0" w:space="0" w:color="auto"/>
      </w:divBdr>
    </w:div>
    <w:div w:id="21115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7271063445?pwd=V3NqbkVPVnAwYTZidWVWaEFML2xN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Serra, Rosemary</cp:lastModifiedBy>
  <cp:revision>2</cp:revision>
  <cp:lastPrinted>2019-06-03T13:42:00Z</cp:lastPrinted>
  <dcterms:created xsi:type="dcterms:W3CDTF">2020-08-31T14:32:00Z</dcterms:created>
  <dcterms:modified xsi:type="dcterms:W3CDTF">2020-08-31T14:32:00Z</dcterms:modified>
</cp:coreProperties>
</file>