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62F95" w14:textId="0EB3FA53" w:rsidR="009C1FCF" w:rsidRDefault="009C1FCF" w:rsidP="00BB7AD1">
      <w:pPr>
        <w:pStyle w:val="Heading1"/>
        <w:spacing w:line="276" w:lineRule="auto"/>
        <w:rPr>
          <w:rFonts w:ascii="YaleNew" w:hAnsi="YaleNew"/>
          <w:color w:val="013562"/>
          <w:sz w:val="24"/>
          <w:szCs w:val="24"/>
        </w:rPr>
      </w:pPr>
      <w:bookmarkStart w:id="0" w:name="_GoBack"/>
    </w:p>
    <w:bookmarkEnd w:id="0"/>
    <w:p w14:paraId="763EBFCF" w14:textId="1C245AAC" w:rsidR="009C03D4" w:rsidRPr="00965630" w:rsidRDefault="009C03D4" w:rsidP="00B62E6E">
      <w:pPr>
        <w:pStyle w:val="Heading1"/>
        <w:spacing w:line="276" w:lineRule="auto"/>
        <w:jc w:val="center"/>
        <w:rPr>
          <w:rFonts w:ascii="YaleNew" w:hAnsi="YaleNew"/>
          <w:color w:val="013562"/>
          <w:sz w:val="24"/>
          <w:szCs w:val="24"/>
        </w:rPr>
      </w:pPr>
      <w:r w:rsidRPr="00965630">
        <w:rPr>
          <w:rFonts w:ascii="YaleNew" w:hAnsi="YaleNew"/>
          <w:color w:val="013562"/>
          <w:sz w:val="24"/>
          <w:szCs w:val="24"/>
        </w:rPr>
        <w:t xml:space="preserve">YALE </w:t>
      </w:r>
      <w:r w:rsidR="00862135" w:rsidRPr="00965630">
        <w:rPr>
          <w:rFonts w:ascii="YaleNew" w:hAnsi="YaleNew"/>
          <w:color w:val="013562"/>
          <w:sz w:val="24"/>
          <w:szCs w:val="24"/>
        </w:rPr>
        <w:t>CARDIOVASCULAR</w:t>
      </w:r>
      <w:r w:rsidR="00D32202">
        <w:rPr>
          <w:rFonts w:ascii="YaleNew" w:hAnsi="YaleNew"/>
          <w:color w:val="013562"/>
          <w:sz w:val="24"/>
          <w:szCs w:val="24"/>
        </w:rPr>
        <w:t xml:space="preserve"> MEDICINE</w:t>
      </w:r>
      <w:r w:rsidR="00862135" w:rsidRPr="00965630">
        <w:rPr>
          <w:rFonts w:ascii="YaleNew" w:hAnsi="YaleNew"/>
          <w:color w:val="013562"/>
          <w:sz w:val="24"/>
          <w:szCs w:val="24"/>
        </w:rPr>
        <w:t xml:space="preserve"> </w:t>
      </w:r>
      <w:r w:rsidRPr="00965630">
        <w:rPr>
          <w:rFonts w:ascii="YaleNew" w:hAnsi="YaleNew"/>
          <w:color w:val="013562"/>
          <w:sz w:val="24"/>
          <w:szCs w:val="24"/>
        </w:rPr>
        <w:t>GRAND ROUNDS</w:t>
      </w:r>
    </w:p>
    <w:p w14:paraId="436EC76A" w14:textId="78D1D309" w:rsidR="00BB7AD1" w:rsidRPr="00D32202" w:rsidRDefault="00D32202" w:rsidP="00D32202">
      <w:pPr>
        <w:pStyle w:val="Heading1"/>
        <w:spacing w:line="276" w:lineRule="auto"/>
        <w:jc w:val="center"/>
        <w:rPr>
          <w:rFonts w:ascii="YaleNew" w:hAnsi="YaleNew"/>
          <w:color w:val="013562"/>
          <w:sz w:val="24"/>
          <w:szCs w:val="24"/>
        </w:rPr>
      </w:pPr>
      <w:r>
        <w:rPr>
          <w:rFonts w:ascii="YaleNew" w:hAnsi="YaleNew"/>
          <w:color w:val="013562"/>
          <w:sz w:val="24"/>
          <w:szCs w:val="24"/>
        </w:rPr>
        <w:t>FELLOW</w:t>
      </w:r>
      <w:r w:rsidR="00965630">
        <w:rPr>
          <w:rFonts w:ascii="YaleNew" w:hAnsi="YaleNew"/>
          <w:color w:val="013562"/>
          <w:sz w:val="24"/>
          <w:szCs w:val="24"/>
        </w:rPr>
        <w:t xml:space="preserve"> LECTURE SERIES</w:t>
      </w:r>
    </w:p>
    <w:p w14:paraId="259C8BAC" w14:textId="01A707A6" w:rsidR="00D32202" w:rsidRDefault="00D32202" w:rsidP="00B62E6E">
      <w:pPr>
        <w:pStyle w:val="Heading1"/>
        <w:spacing w:line="276" w:lineRule="auto"/>
        <w:jc w:val="center"/>
        <w:rPr>
          <w:rFonts w:ascii="YaleNew" w:hAnsi="YaleNew"/>
          <w:bCs/>
          <w:color w:val="013562"/>
          <w:spacing w:val="-10"/>
          <w:kern w:val="28"/>
          <w:sz w:val="56"/>
          <w:szCs w:val="56"/>
        </w:rPr>
      </w:pPr>
      <w:r w:rsidRPr="00D32202">
        <w:rPr>
          <w:rFonts w:ascii="YaleNew" w:hAnsi="YaleNew"/>
          <w:bCs/>
          <w:color w:val="013562"/>
          <w:spacing w:val="-10"/>
          <w:kern w:val="28"/>
          <w:sz w:val="56"/>
          <w:szCs w:val="56"/>
        </w:rPr>
        <w:t>Coronary Artery Calcification OR Genetics for Cardiovascular Risk Stratification in the Primary Prevention Setting</w:t>
      </w:r>
    </w:p>
    <w:p w14:paraId="1920A0BC" w14:textId="77777777" w:rsidR="00D32202" w:rsidRPr="00D32202" w:rsidRDefault="00D32202" w:rsidP="00D32202">
      <w:pPr>
        <w:spacing w:line="276" w:lineRule="auto"/>
        <w:jc w:val="center"/>
        <w:rPr>
          <w:rFonts w:ascii="YaleNew" w:eastAsiaTheme="majorEastAsia" w:hAnsi="YaleNew" w:cstheme="majorBidi"/>
          <w:bCs/>
          <w:color w:val="013562"/>
          <w:sz w:val="36"/>
          <w:szCs w:val="36"/>
        </w:rPr>
      </w:pPr>
      <w:proofErr w:type="spellStart"/>
      <w:r w:rsidRPr="00D32202">
        <w:rPr>
          <w:rFonts w:ascii="YaleNew" w:eastAsiaTheme="majorEastAsia" w:hAnsi="YaleNew" w:cstheme="majorBidi"/>
          <w:bCs/>
          <w:color w:val="013562"/>
          <w:sz w:val="36"/>
          <w:szCs w:val="36"/>
        </w:rPr>
        <w:t>Ehimen</w:t>
      </w:r>
      <w:proofErr w:type="spellEnd"/>
      <w:r w:rsidRPr="00D32202">
        <w:rPr>
          <w:rFonts w:ascii="YaleNew" w:eastAsiaTheme="majorEastAsia" w:hAnsi="YaleNew" w:cstheme="majorBidi"/>
          <w:bCs/>
          <w:color w:val="013562"/>
          <w:sz w:val="36"/>
          <w:szCs w:val="36"/>
        </w:rPr>
        <w:t xml:space="preserve"> </w:t>
      </w:r>
      <w:proofErr w:type="spellStart"/>
      <w:r w:rsidRPr="00D32202">
        <w:rPr>
          <w:rFonts w:ascii="YaleNew" w:eastAsiaTheme="majorEastAsia" w:hAnsi="YaleNew" w:cstheme="majorBidi"/>
          <w:bCs/>
          <w:color w:val="013562"/>
          <w:sz w:val="36"/>
          <w:szCs w:val="36"/>
        </w:rPr>
        <w:t>Aneni</w:t>
      </w:r>
      <w:proofErr w:type="spellEnd"/>
      <w:r w:rsidRPr="00D32202">
        <w:rPr>
          <w:rFonts w:ascii="YaleNew" w:eastAsiaTheme="majorEastAsia" w:hAnsi="YaleNew" w:cstheme="majorBidi"/>
          <w:bCs/>
          <w:color w:val="013562"/>
          <w:sz w:val="36"/>
          <w:szCs w:val="36"/>
        </w:rPr>
        <w:t> MD, MPH</w:t>
      </w:r>
    </w:p>
    <w:p w14:paraId="26A3236C" w14:textId="13C30BB0" w:rsidR="00D32202" w:rsidRPr="00D32202" w:rsidRDefault="00D32202" w:rsidP="00D32202">
      <w:pPr>
        <w:spacing w:line="276" w:lineRule="auto"/>
        <w:jc w:val="center"/>
        <w:rPr>
          <w:rFonts w:ascii="YaleNew" w:eastAsiaTheme="majorEastAsia" w:hAnsi="YaleNew" w:cstheme="majorBidi"/>
          <w:bCs/>
          <w:color w:val="013562"/>
          <w:sz w:val="36"/>
          <w:szCs w:val="36"/>
        </w:rPr>
      </w:pPr>
      <w:r w:rsidRPr="00D32202">
        <w:rPr>
          <w:rFonts w:ascii="YaleNew" w:eastAsiaTheme="majorEastAsia" w:hAnsi="YaleNew" w:cstheme="majorBidi"/>
          <w:bCs/>
          <w:color w:val="013562"/>
          <w:sz w:val="36"/>
          <w:szCs w:val="36"/>
        </w:rPr>
        <w:t xml:space="preserve"> </w:t>
      </w:r>
      <w:proofErr w:type="spellStart"/>
      <w:r w:rsidRPr="00D32202">
        <w:rPr>
          <w:rFonts w:ascii="YaleNew" w:eastAsiaTheme="majorEastAsia" w:hAnsi="YaleNew" w:cstheme="majorBidi"/>
          <w:bCs/>
          <w:color w:val="013562"/>
          <w:sz w:val="36"/>
          <w:szCs w:val="36"/>
        </w:rPr>
        <w:t>Maen</w:t>
      </w:r>
      <w:proofErr w:type="spellEnd"/>
      <w:r w:rsidRPr="00D32202">
        <w:rPr>
          <w:rFonts w:ascii="YaleNew" w:eastAsiaTheme="majorEastAsia" w:hAnsi="YaleNew" w:cstheme="majorBidi"/>
          <w:bCs/>
          <w:color w:val="013562"/>
          <w:sz w:val="36"/>
          <w:szCs w:val="36"/>
        </w:rPr>
        <w:t xml:space="preserve"> </w:t>
      </w:r>
      <w:proofErr w:type="spellStart"/>
      <w:r w:rsidRPr="00D32202">
        <w:rPr>
          <w:rFonts w:ascii="YaleNew" w:eastAsiaTheme="majorEastAsia" w:hAnsi="YaleNew" w:cstheme="majorBidi"/>
          <w:bCs/>
          <w:color w:val="013562"/>
          <w:sz w:val="36"/>
          <w:szCs w:val="36"/>
        </w:rPr>
        <w:t>Abou</w:t>
      </w:r>
      <w:proofErr w:type="spellEnd"/>
      <w:r w:rsidRPr="00D32202">
        <w:rPr>
          <w:rFonts w:ascii="YaleNew" w:eastAsiaTheme="majorEastAsia" w:hAnsi="YaleNew" w:cstheme="majorBidi"/>
          <w:bCs/>
          <w:color w:val="013562"/>
          <w:sz w:val="36"/>
          <w:szCs w:val="36"/>
        </w:rPr>
        <w:t xml:space="preserve"> </w:t>
      </w:r>
      <w:proofErr w:type="spellStart"/>
      <w:r w:rsidRPr="00D32202">
        <w:rPr>
          <w:rFonts w:ascii="YaleNew" w:eastAsiaTheme="majorEastAsia" w:hAnsi="YaleNew" w:cstheme="majorBidi"/>
          <w:bCs/>
          <w:color w:val="013562"/>
          <w:sz w:val="36"/>
          <w:szCs w:val="36"/>
        </w:rPr>
        <w:t>Ziki</w:t>
      </w:r>
      <w:proofErr w:type="spellEnd"/>
      <w:r w:rsidRPr="00D32202">
        <w:rPr>
          <w:rFonts w:ascii="YaleNew" w:eastAsiaTheme="majorEastAsia" w:hAnsi="YaleNew" w:cstheme="majorBidi"/>
          <w:bCs/>
          <w:color w:val="013562"/>
          <w:sz w:val="36"/>
          <w:szCs w:val="36"/>
        </w:rPr>
        <w:t> MD</w:t>
      </w:r>
    </w:p>
    <w:p w14:paraId="20A3E4A5" w14:textId="5D16DCBC" w:rsidR="002C707B" w:rsidRPr="002C707B" w:rsidRDefault="00D32202" w:rsidP="00D32202">
      <w:pPr>
        <w:spacing w:line="276" w:lineRule="auto"/>
        <w:jc w:val="center"/>
      </w:pPr>
      <w:r>
        <w:rPr>
          <w:noProof/>
        </w:rPr>
        <w:drawing>
          <wp:anchor distT="0" distB="0" distL="114300" distR="114300" simplePos="0" relativeHeight="251660288" behindDoc="0" locked="0" layoutInCell="1" allowOverlap="1" wp14:anchorId="0E54D3EA" wp14:editId="61483A24">
            <wp:simplePos x="0" y="0"/>
            <wp:positionH relativeFrom="column">
              <wp:posOffset>2533417</wp:posOffset>
            </wp:positionH>
            <wp:positionV relativeFrom="paragraph">
              <wp:posOffset>165854</wp:posOffset>
            </wp:positionV>
            <wp:extent cx="795431" cy="1163320"/>
            <wp:effectExtent l="25400" t="25400" r="30480" b="304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bert-harrington_profilephot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5842" cy="1163921"/>
                    </a:xfrm>
                    <a:prstGeom prst="rect">
                      <a:avLst/>
                    </a:prstGeom>
                    <a:ln w="19050">
                      <a:solidFill>
                        <a:srgbClr val="013562"/>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26516B51" wp14:editId="5024DEEB">
            <wp:simplePos x="0" y="0"/>
            <wp:positionH relativeFrom="column">
              <wp:posOffset>3472583</wp:posOffset>
            </wp:positionH>
            <wp:positionV relativeFrom="paragraph">
              <wp:posOffset>166540</wp:posOffset>
            </wp:positionV>
            <wp:extent cx="794996" cy="1163409"/>
            <wp:effectExtent l="25400" t="25400" r="31115" b="304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bert-harrington_profilephot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4996" cy="1163409"/>
                    </a:xfrm>
                    <a:prstGeom prst="rect">
                      <a:avLst/>
                    </a:prstGeom>
                    <a:ln w="19050">
                      <a:solidFill>
                        <a:srgbClr val="013562"/>
                      </a:solidFill>
                    </a:ln>
                  </pic:spPr>
                </pic:pic>
              </a:graphicData>
            </a:graphic>
            <wp14:sizeRelH relativeFrom="page">
              <wp14:pctWidth>0</wp14:pctWidth>
            </wp14:sizeRelH>
            <wp14:sizeRelV relativeFrom="page">
              <wp14:pctHeight>0</wp14:pctHeight>
            </wp14:sizeRelV>
          </wp:anchor>
        </w:drawing>
      </w:r>
      <w:r w:rsidRPr="00D32202">
        <w:rPr>
          <w:rFonts w:ascii="YaleNew" w:eastAsiaTheme="majorEastAsia" w:hAnsi="YaleNew" w:cstheme="majorBidi"/>
          <w:color w:val="013562"/>
          <w:sz w:val="36"/>
          <w:szCs w:val="36"/>
        </w:rPr>
        <w:t xml:space="preserve"> </w:t>
      </w:r>
    </w:p>
    <w:p w14:paraId="617B76B2" w14:textId="2929831A" w:rsidR="00F03AD8" w:rsidRPr="00A1768D" w:rsidRDefault="00F03AD8" w:rsidP="009C03D4">
      <w:pPr>
        <w:pStyle w:val="Title"/>
        <w:spacing w:line="276" w:lineRule="auto"/>
        <w:rPr>
          <w:rFonts w:ascii="YaleNew" w:hAnsi="YaleNew"/>
          <w:color w:val="013562"/>
          <w:vertAlign w:val="subscript"/>
        </w:rPr>
      </w:pPr>
    </w:p>
    <w:p w14:paraId="14CBA83B" w14:textId="23606F22" w:rsidR="00F03AD8" w:rsidRDefault="00F03AD8" w:rsidP="009C03D4">
      <w:pPr>
        <w:pStyle w:val="Title"/>
        <w:spacing w:line="276" w:lineRule="auto"/>
        <w:rPr>
          <w:rFonts w:ascii="YaleNew" w:hAnsi="YaleNew"/>
          <w:color w:val="013562"/>
        </w:rPr>
      </w:pPr>
    </w:p>
    <w:p w14:paraId="4646851B" w14:textId="2EF66FB6" w:rsidR="002C707B" w:rsidRDefault="002C707B" w:rsidP="002C707B">
      <w:pPr>
        <w:spacing w:line="276" w:lineRule="auto"/>
        <w:rPr>
          <w:rFonts w:ascii="YaleNew" w:hAnsi="YaleNew"/>
          <w:color w:val="013562"/>
        </w:rPr>
      </w:pPr>
    </w:p>
    <w:p w14:paraId="209B2E07" w14:textId="77777777" w:rsidR="00D32202" w:rsidRDefault="00D32202" w:rsidP="00BE4F2D">
      <w:pPr>
        <w:spacing w:line="276" w:lineRule="auto"/>
        <w:jc w:val="center"/>
        <w:rPr>
          <w:rFonts w:ascii="YaleNew" w:hAnsi="YaleNew"/>
          <w:color w:val="013562"/>
        </w:rPr>
      </w:pPr>
    </w:p>
    <w:p w14:paraId="794C636B" w14:textId="7C418680" w:rsidR="00BB7AD1" w:rsidRPr="00D32202" w:rsidRDefault="00D32202" w:rsidP="00D32202">
      <w:pPr>
        <w:spacing w:line="276" w:lineRule="auto"/>
        <w:jc w:val="center"/>
        <w:rPr>
          <w:rFonts w:ascii="YaleNew" w:hAnsi="YaleNew"/>
          <w:color w:val="013562"/>
        </w:rPr>
      </w:pPr>
      <w:r>
        <w:rPr>
          <w:rFonts w:ascii="YaleNew" w:hAnsi="YaleNew"/>
          <w:color w:val="013562"/>
        </w:rPr>
        <w:t>October</w:t>
      </w:r>
      <w:r w:rsidR="00A152A7" w:rsidRPr="009C03D4">
        <w:rPr>
          <w:rFonts w:ascii="YaleNew" w:hAnsi="YaleNew"/>
          <w:color w:val="013562"/>
        </w:rPr>
        <w:t xml:space="preserve"> </w:t>
      </w:r>
      <w:r>
        <w:rPr>
          <w:rFonts w:ascii="YaleNew" w:hAnsi="YaleNew"/>
          <w:color w:val="013562"/>
        </w:rPr>
        <w:t>08</w:t>
      </w:r>
      <w:r w:rsidR="00A152A7" w:rsidRPr="009C03D4">
        <w:rPr>
          <w:rFonts w:ascii="YaleNew" w:hAnsi="YaleNew"/>
          <w:color w:val="013562"/>
        </w:rPr>
        <w:t xml:space="preserve">, 2019 </w:t>
      </w:r>
      <w:r w:rsidR="00A152A7" w:rsidRPr="00384DBD">
        <w:rPr>
          <w:rFonts w:ascii="YaleNew" w:hAnsi="YaleNew"/>
          <w:color w:val="63AAFF"/>
        </w:rPr>
        <w:t>|</w:t>
      </w:r>
      <w:r w:rsidR="00A152A7" w:rsidRPr="009C03D4">
        <w:rPr>
          <w:rFonts w:ascii="09* ˛" w:hAnsi="09* ˛" w:cs="09* ˛"/>
          <w:color w:val="013562"/>
          <w:sz w:val="36"/>
          <w:szCs w:val="36"/>
        </w:rPr>
        <w:t xml:space="preserve"> </w:t>
      </w:r>
      <w:r w:rsidR="00A152A7" w:rsidRPr="009C03D4">
        <w:rPr>
          <w:rFonts w:ascii="YaleNew" w:hAnsi="YaleNew"/>
          <w:color w:val="013562"/>
        </w:rPr>
        <w:t xml:space="preserve">8:00 AM </w:t>
      </w:r>
      <w:r w:rsidR="00A152A7" w:rsidRPr="00384DBD">
        <w:rPr>
          <w:rFonts w:ascii="YaleNew" w:hAnsi="YaleNew"/>
          <w:color w:val="63AAFF"/>
        </w:rPr>
        <w:t>|</w:t>
      </w:r>
      <w:r w:rsidR="00A152A7" w:rsidRPr="00872BFC">
        <w:rPr>
          <w:rFonts w:ascii="YaleNew" w:hAnsi="YaleNew"/>
          <w:color w:val="BD5319"/>
        </w:rPr>
        <w:t xml:space="preserve"> </w:t>
      </w:r>
      <w:proofErr w:type="spellStart"/>
      <w:r w:rsidR="00A152A7" w:rsidRPr="009C03D4">
        <w:rPr>
          <w:rFonts w:ascii="YaleNew" w:hAnsi="YaleNew"/>
          <w:color w:val="013562"/>
        </w:rPr>
        <w:t>Fitkin</w:t>
      </w:r>
      <w:proofErr w:type="spellEnd"/>
      <w:r w:rsidR="00A152A7" w:rsidRPr="009C03D4">
        <w:rPr>
          <w:rFonts w:ascii="YaleNew" w:hAnsi="YaleNew"/>
          <w:color w:val="013562"/>
        </w:rPr>
        <w:t xml:space="preserve"> Amphitheatre, LMP 1094</w:t>
      </w:r>
      <w:r w:rsidR="009C03D4" w:rsidRPr="009C03D4">
        <w:rPr>
          <w:rFonts w:ascii="YaleNew" w:hAnsi="YaleNew"/>
          <w:color w:val="013562"/>
        </w:rPr>
        <w:t xml:space="preserve"> </w:t>
      </w:r>
      <w:r w:rsidR="009C03D4" w:rsidRPr="00384DBD">
        <w:rPr>
          <w:rFonts w:ascii="YaleNew" w:hAnsi="YaleNew"/>
          <w:color w:val="63AAFF"/>
        </w:rPr>
        <w:t>|</w:t>
      </w:r>
      <w:r w:rsidR="009C03D4" w:rsidRPr="009C03D4">
        <w:rPr>
          <w:rFonts w:ascii="YaleNew" w:hAnsi="YaleNew"/>
          <w:color w:val="013562"/>
        </w:rPr>
        <w:t xml:space="preserve"> Host: Tariq Ahmad, MD</w:t>
      </w:r>
    </w:p>
    <w:p w14:paraId="1D3117FF" w14:textId="1BE2B322" w:rsidR="00A74253" w:rsidRDefault="00341178" w:rsidP="00A74253">
      <w:pPr>
        <w:jc w:val="center"/>
        <w:rPr>
          <w:rFonts w:ascii="YaleNew" w:hAnsi="YaleNew"/>
          <w:i/>
        </w:rPr>
      </w:pPr>
      <w:r>
        <w:rPr>
          <w:rFonts w:ascii="YaleNew" w:hAnsi="YaleNew"/>
          <w:i/>
          <w:noProof/>
        </w:rPr>
        <w:pict w14:anchorId="289C230D">
          <v:rect id="_x0000_i1025" alt="" style="width:540pt;height:.05pt;mso-width-percent:0;mso-height-percent:0;mso-width-percent:0;mso-height-percent:0" o:hralign="center" o:hrstd="t" o:hr="t" fillcolor="#a0a0a0" stroked="f"/>
        </w:pict>
      </w:r>
    </w:p>
    <w:p w14:paraId="7C47DBBA" w14:textId="6FEE6316" w:rsidR="00DA2A91" w:rsidRPr="00A74253" w:rsidRDefault="00A74253" w:rsidP="00DA2A91">
      <w:pPr>
        <w:spacing w:line="276" w:lineRule="auto"/>
        <w:jc w:val="center"/>
        <w:rPr>
          <w:rFonts w:ascii="YaleNew" w:hAnsi="YaleNew"/>
          <w:i/>
        </w:rPr>
      </w:pPr>
      <w:r w:rsidRPr="00A74253">
        <w:rPr>
          <w:rFonts w:ascii="YaleNew" w:hAnsi="YaleNew"/>
          <w:i/>
        </w:rPr>
        <w:t>There is no corporate support for this activity</w:t>
      </w:r>
      <w:r w:rsidR="00DA2A91">
        <w:rPr>
          <w:rFonts w:ascii="YaleNew" w:hAnsi="YaleNew"/>
          <w:i/>
        </w:rPr>
        <w:t>.</w:t>
      </w:r>
    </w:p>
    <w:p w14:paraId="7FDF1335" w14:textId="7A0066DF" w:rsidR="00A74253" w:rsidRDefault="00A74253" w:rsidP="00BE4F2D">
      <w:pPr>
        <w:spacing w:line="276" w:lineRule="auto"/>
        <w:jc w:val="center"/>
        <w:rPr>
          <w:rFonts w:ascii="YaleNew" w:hAnsi="YaleNew"/>
          <w:i/>
        </w:rPr>
      </w:pPr>
      <w:r w:rsidRPr="00A74253">
        <w:rPr>
          <w:rFonts w:ascii="YaleNew" w:hAnsi="YaleNew"/>
          <w:i/>
        </w:rPr>
        <w:t>This course will fulfill the licensure requirement set forth by the State of Connecticut.</w:t>
      </w:r>
    </w:p>
    <w:tbl>
      <w:tblPr>
        <w:tblStyle w:val="TableGrid"/>
        <w:tblpPr w:leftFromText="180" w:rightFromText="180" w:vertAnchor="text" w:horzAnchor="margin" w:tblpXSpec="center" w:tblpY="683"/>
        <w:tblW w:w="9355" w:type="dxa"/>
        <w:tblBorders>
          <w:top w:val="none" w:sz="0" w:space="0" w:color="auto"/>
          <w:left w:val="none" w:sz="0" w:space="0" w:color="auto"/>
          <w:bottom w:val="none" w:sz="0" w:space="0" w:color="auto"/>
          <w:right w:val="none" w:sz="0" w:space="0" w:color="auto"/>
          <w:insideH w:val="single" w:sz="2" w:space="0" w:color="BD5319"/>
          <w:insideV w:val="single" w:sz="2" w:space="0" w:color="63AAFF"/>
        </w:tblBorders>
        <w:shd w:val="clear" w:color="auto" w:fill="F9F9F9"/>
        <w:tblLook w:val="04A0" w:firstRow="1" w:lastRow="0" w:firstColumn="1" w:lastColumn="0" w:noHBand="0" w:noVBand="1"/>
      </w:tblPr>
      <w:tblGrid>
        <w:gridCol w:w="4255"/>
        <w:gridCol w:w="5100"/>
      </w:tblGrid>
      <w:tr w:rsidR="00BB7AD1" w14:paraId="36FBA742" w14:textId="77777777" w:rsidTr="00384DBD">
        <w:trPr>
          <w:trHeight w:val="1980"/>
        </w:trPr>
        <w:tc>
          <w:tcPr>
            <w:tcW w:w="4255" w:type="dxa"/>
            <w:shd w:val="clear" w:color="auto" w:fill="auto"/>
          </w:tcPr>
          <w:p w14:paraId="53E0F0AE" w14:textId="3840709E" w:rsidR="00BB7AD1" w:rsidRPr="00F03AD8" w:rsidRDefault="00BB7AD1" w:rsidP="00BB7AD1">
            <w:pPr>
              <w:spacing w:line="276" w:lineRule="auto"/>
              <w:rPr>
                <w:rFonts w:ascii="YaleNew" w:hAnsi="YaleNew"/>
                <w:b/>
                <w:color w:val="013562"/>
                <w:sz w:val="15"/>
                <w:szCs w:val="15"/>
              </w:rPr>
            </w:pPr>
            <w:r w:rsidRPr="00F03AD8">
              <w:rPr>
                <w:rFonts w:ascii="YaleNew" w:hAnsi="YaleNew"/>
                <w:b/>
                <w:color w:val="013562"/>
                <w:sz w:val="15"/>
                <w:szCs w:val="15"/>
              </w:rPr>
              <w:t xml:space="preserve">Accreditation: </w:t>
            </w:r>
          </w:p>
          <w:p w14:paraId="777E36AC" w14:textId="77777777" w:rsidR="00BB7AD1" w:rsidRPr="00F03AD8" w:rsidRDefault="00BB7AD1" w:rsidP="00BB7AD1">
            <w:pPr>
              <w:spacing w:line="276" w:lineRule="auto"/>
              <w:rPr>
                <w:rFonts w:ascii="YaleNew" w:hAnsi="YaleNew"/>
                <w:sz w:val="10"/>
                <w:szCs w:val="10"/>
              </w:rPr>
            </w:pPr>
            <w:r w:rsidRPr="00F03AD8">
              <w:rPr>
                <w:rFonts w:ascii="YaleNew" w:hAnsi="YaleNew"/>
                <w:sz w:val="10"/>
                <w:szCs w:val="10"/>
              </w:rPr>
              <w:t xml:space="preserve">The Yale School of Medicine is accredited by the Accreditation Council for Continuing Medical Education to provide continuing medical education for physicians. </w:t>
            </w:r>
          </w:p>
          <w:p w14:paraId="4004612A" w14:textId="176F9F3A" w:rsidR="00BB7AD1" w:rsidRPr="00DA2A91" w:rsidRDefault="00BB7AD1" w:rsidP="00BB7AD1">
            <w:pPr>
              <w:spacing w:line="276" w:lineRule="auto"/>
              <w:rPr>
                <w:rFonts w:ascii="YaleNew" w:hAnsi="YaleNew"/>
                <w:b/>
                <w:sz w:val="10"/>
                <w:szCs w:val="10"/>
              </w:rPr>
            </w:pPr>
          </w:p>
          <w:p w14:paraId="03106BB1" w14:textId="77777777" w:rsidR="00BB7AD1" w:rsidRPr="00F03AD8" w:rsidRDefault="00BB7AD1" w:rsidP="00BB7AD1">
            <w:pPr>
              <w:spacing w:line="276" w:lineRule="auto"/>
              <w:rPr>
                <w:rFonts w:ascii="YaleNew" w:hAnsi="YaleNew"/>
                <w:b/>
                <w:color w:val="013562"/>
                <w:sz w:val="15"/>
                <w:szCs w:val="15"/>
              </w:rPr>
            </w:pPr>
            <w:r w:rsidRPr="00F03AD8">
              <w:rPr>
                <w:rFonts w:ascii="YaleNew" w:hAnsi="YaleNew"/>
                <w:b/>
                <w:color w:val="013562"/>
                <w:sz w:val="15"/>
                <w:szCs w:val="15"/>
              </w:rPr>
              <w:t xml:space="preserve">Target Audience: </w:t>
            </w:r>
          </w:p>
          <w:p w14:paraId="28001A34" w14:textId="77777777" w:rsidR="00BB7AD1" w:rsidRPr="00F03AD8" w:rsidRDefault="00BB7AD1" w:rsidP="00BB7AD1">
            <w:pPr>
              <w:spacing w:line="276" w:lineRule="auto"/>
              <w:rPr>
                <w:rFonts w:ascii="YaleNew" w:hAnsi="YaleNew"/>
                <w:sz w:val="10"/>
                <w:szCs w:val="10"/>
              </w:rPr>
            </w:pPr>
            <w:r w:rsidRPr="00F03AD8">
              <w:rPr>
                <w:rFonts w:ascii="YaleNew" w:hAnsi="YaleNew"/>
                <w:sz w:val="10"/>
                <w:szCs w:val="10"/>
              </w:rPr>
              <w:t xml:space="preserve">Attending physicians, house staff, fellows, medical students, PA's </w:t>
            </w:r>
          </w:p>
          <w:p w14:paraId="26F9F983" w14:textId="4CE4E7A9" w:rsidR="00BB7AD1" w:rsidRPr="00DA2A91" w:rsidRDefault="00BB7AD1" w:rsidP="00BB7AD1">
            <w:pPr>
              <w:spacing w:line="276" w:lineRule="auto"/>
              <w:rPr>
                <w:rFonts w:ascii="YaleNew" w:hAnsi="YaleNew"/>
                <w:b/>
                <w:sz w:val="10"/>
                <w:szCs w:val="10"/>
              </w:rPr>
            </w:pPr>
          </w:p>
          <w:p w14:paraId="5EE5DF0B" w14:textId="77777777" w:rsidR="00BB7AD1" w:rsidRPr="00F03AD8" w:rsidRDefault="00BB7AD1" w:rsidP="00BB7AD1">
            <w:pPr>
              <w:spacing w:line="276" w:lineRule="auto"/>
              <w:rPr>
                <w:rFonts w:ascii="YaleNew" w:hAnsi="YaleNew"/>
                <w:b/>
                <w:color w:val="013562"/>
                <w:sz w:val="15"/>
                <w:szCs w:val="15"/>
              </w:rPr>
            </w:pPr>
            <w:r w:rsidRPr="00F03AD8">
              <w:rPr>
                <w:rFonts w:ascii="YaleNew" w:hAnsi="YaleNew"/>
                <w:b/>
                <w:color w:val="013562"/>
                <w:sz w:val="15"/>
                <w:szCs w:val="15"/>
              </w:rPr>
              <w:t xml:space="preserve">Needs Assessment: </w:t>
            </w:r>
          </w:p>
          <w:p w14:paraId="4053C2E3" w14:textId="77777777" w:rsidR="00D32202" w:rsidRPr="00D32202" w:rsidRDefault="00D32202" w:rsidP="00D32202">
            <w:pPr>
              <w:spacing w:line="276" w:lineRule="auto"/>
              <w:rPr>
                <w:rFonts w:ascii="YaleNew" w:hAnsi="YaleNew"/>
                <w:sz w:val="10"/>
                <w:szCs w:val="10"/>
              </w:rPr>
            </w:pPr>
            <w:r w:rsidRPr="00D32202">
              <w:rPr>
                <w:rFonts w:ascii="YaleNew" w:hAnsi="YaleNew"/>
                <w:sz w:val="10"/>
                <w:szCs w:val="10"/>
              </w:rPr>
              <w:t xml:space="preserve">With the new prevention guidelines there is need for an understanding how CT scans coronary artery calcification (CAC) scoring play a pivotal role in decision making. </w:t>
            </w:r>
          </w:p>
          <w:p w14:paraId="68684B57" w14:textId="77777777" w:rsidR="00D32202" w:rsidRPr="00D32202" w:rsidRDefault="00D32202" w:rsidP="00D32202">
            <w:pPr>
              <w:spacing w:line="276" w:lineRule="auto"/>
              <w:rPr>
                <w:rFonts w:ascii="YaleNew" w:hAnsi="YaleNew"/>
                <w:b/>
                <w:sz w:val="10"/>
                <w:szCs w:val="10"/>
              </w:rPr>
            </w:pPr>
            <w:r w:rsidRPr="00D32202">
              <w:rPr>
                <w:rFonts w:ascii="YaleNew" w:hAnsi="YaleNew"/>
                <w:sz w:val="10"/>
                <w:szCs w:val="10"/>
              </w:rPr>
              <w:t xml:space="preserve">The rise of genetic risk scores in non-monogenic forms of CAD makes it important to have a healthy debate about role of polygenic risk scores and CAC in risk stratification for primary prevention of CAD. </w:t>
            </w:r>
          </w:p>
          <w:p w14:paraId="3321929C" w14:textId="479F3DA4" w:rsidR="00BB7AD1" w:rsidRPr="00DA2A91" w:rsidRDefault="00BB7AD1" w:rsidP="00BB7AD1">
            <w:pPr>
              <w:spacing w:line="276" w:lineRule="auto"/>
              <w:rPr>
                <w:rFonts w:ascii="YaleNew" w:hAnsi="YaleNew"/>
                <w:b/>
                <w:sz w:val="10"/>
                <w:szCs w:val="10"/>
              </w:rPr>
            </w:pPr>
          </w:p>
          <w:p w14:paraId="2A022EB5" w14:textId="196440DC" w:rsidR="00BB7AD1" w:rsidRPr="00F03AD8" w:rsidRDefault="00BB7AD1" w:rsidP="00BB7AD1">
            <w:pPr>
              <w:spacing w:line="276" w:lineRule="auto"/>
              <w:rPr>
                <w:rFonts w:ascii="YaleNew" w:hAnsi="YaleNew"/>
                <w:b/>
                <w:color w:val="013562"/>
                <w:sz w:val="15"/>
                <w:szCs w:val="15"/>
              </w:rPr>
            </w:pPr>
            <w:r w:rsidRPr="00F03AD8">
              <w:rPr>
                <w:rFonts w:ascii="YaleNew" w:hAnsi="YaleNew"/>
                <w:b/>
                <w:color w:val="013562"/>
                <w:sz w:val="15"/>
                <w:szCs w:val="15"/>
              </w:rPr>
              <w:t xml:space="preserve">Learning Objectives: </w:t>
            </w:r>
          </w:p>
          <w:p w14:paraId="30C6ACE6" w14:textId="77777777" w:rsidR="00BB7AD1" w:rsidRDefault="00BB7AD1" w:rsidP="00BB7AD1">
            <w:pPr>
              <w:spacing w:line="276" w:lineRule="auto"/>
              <w:rPr>
                <w:rFonts w:ascii="YaleNew" w:hAnsi="YaleNew"/>
                <w:sz w:val="10"/>
                <w:szCs w:val="10"/>
              </w:rPr>
            </w:pPr>
            <w:r w:rsidRPr="00F03AD8">
              <w:rPr>
                <w:rFonts w:ascii="YaleNew" w:hAnsi="YaleNew"/>
                <w:sz w:val="10"/>
                <w:szCs w:val="10"/>
              </w:rPr>
              <w:t>At the conclusion of this activity, participants will be able to:</w:t>
            </w:r>
          </w:p>
          <w:p w14:paraId="532144F4" w14:textId="77777777" w:rsidR="00D32202" w:rsidRPr="00D32202" w:rsidRDefault="00D32202" w:rsidP="00D32202">
            <w:pPr>
              <w:pStyle w:val="ListParagraph"/>
              <w:numPr>
                <w:ilvl w:val="0"/>
                <w:numId w:val="4"/>
              </w:numPr>
              <w:spacing w:line="276" w:lineRule="auto"/>
              <w:rPr>
                <w:rFonts w:ascii="YaleNew" w:hAnsi="YaleNew"/>
                <w:sz w:val="10"/>
                <w:szCs w:val="10"/>
              </w:rPr>
            </w:pPr>
            <w:r w:rsidRPr="00D32202">
              <w:rPr>
                <w:rFonts w:ascii="YaleNew" w:hAnsi="YaleNew"/>
                <w:sz w:val="10"/>
                <w:szCs w:val="10"/>
              </w:rPr>
              <w:t>Understand the literature supporting the use of CT scans for CAC testing in individuals with intermediate risk on pooled cohort equations</w:t>
            </w:r>
          </w:p>
          <w:p w14:paraId="49F8BF27" w14:textId="48229DB5" w:rsidR="00BB7AD1" w:rsidRPr="00D32202" w:rsidRDefault="00D32202" w:rsidP="00D32202">
            <w:pPr>
              <w:pStyle w:val="ListParagraph"/>
              <w:numPr>
                <w:ilvl w:val="0"/>
                <w:numId w:val="4"/>
              </w:numPr>
              <w:spacing w:line="276" w:lineRule="auto"/>
              <w:rPr>
                <w:rFonts w:ascii="YaleNew" w:hAnsi="YaleNew"/>
                <w:sz w:val="10"/>
                <w:szCs w:val="10"/>
              </w:rPr>
            </w:pPr>
            <w:r w:rsidRPr="00D32202">
              <w:rPr>
                <w:rFonts w:ascii="YaleNew" w:hAnsi="YaleNew"/>
                <w:sz w:val="10"/>
                <w:szCs w:val="10"/>
              </w:rPr>
              <w:t>Understand the power of Zero CAC in risk stratification</w:t>
            </w:r>
            <w:r w:rsidR="00BB7AD1" w:rsidRPr="00D32202">
              <w:rPr>
                <w:rFonts w:ascii="YaleNew" w:hAnsi="YaleNew"/>
                <w:sz w:val="10"/>
                <w:szCs w:val="10"/>
              </w:rPr>
              <w:t>.</w:t>
            </w:r>
          </w:p>
          <w:p w14:paraId="66CA2244" w14:textId="46240BCC" w:rsidR="00BB7AD1" w:rsidRPr="00D32202" w:rsidRDefault="00D32202" w:rsidP="00D32202">
            <w:pPr>
              <w:pStyle w:val="ListParagraph"/>
              <w:numPr>
                <w:ilvl w:val="0"/>
                <w:numId w:val="4"/>
              </w:numPr>
              <w:spacing w:line="276" w:lineRule="auto"/>
              <w:rPr>
                <w:rFonts w:ascii="YaleNew" w:hAnsi="YaleNew"/>
                <w:sz w:val="10"/>
                <w:szCs w:val="10"/>
              </w:rPr>
            </w:pPr>
            <w:r w:rsidRPr="00D32202">
              <w:rPr>
                <w:rFonts w:ascii="YaleNew" w:hAnsi="YaleNew"/>
                <w:sz w:val="10"/>
                <w:szCs w:val="10"/>
              </w:rPr>
              <w:t>Compare the available data on CAC scoring to polygenic risk scores</w:t>
            </w:r>
            <w:r w:rsidR="00BB7AD1" w:rsidRPr="00D32202">
              <w:rPr>
                <w:rFonts w:ascii="YaleNew" w:hAnsi="YaleNew"/>
                <w:sz w:val="10"/>
                <w:szCs w:val="10"/>
              </w:rPr>
              <w:t>.</w:t>
            </w:r>
          </w:p>
        </w:tc>
        <w:tc>
          <w:tcPr>
            <w:tcW w:w="5100" w:type="dxa"/>
            <w:shd w:val="clear" w:color="auto" w:fill="auto"/>
          </w:tcPr>
          <w:p w14:paraId="73918881" w14:textId="1BB5D5AE" w:rsidR="00BB7AD1" w:rsidRPr="00F03AD8" w:rsidRDefault="00BB7AD1" w:rsidP="00BB7AD1">
            <w:pPr>
              <w:spacing w:line="276" w:lineRule="auto"/>
              <w:rPr>
                <w:rFonts w:ascii="YaleNew" w:hAnsi="YaleNew"/>
                <w:b/>
                <w:color w:val="013562"/>
                <w:sz w:val="15"/>
                <w:szCs w:val="15"/>
              </w:rPr>
            </w:pPr>
            <w:r w:rsidRPr="00F03AD8">
              <w:rPr>
                <w:rFonts w:ascii="YaleNew" w:hAnsi="YaleNew"/>
                <w:b/>
                <w:color w:val="013562"/>
                <w:sz w:val="15"/>
                <w:szCs w:val="15"/>
              </w:rPr>
              <w:t xml:space="preserve">Designation Statement: </w:t>
            </w:r>
          </w:p>
          <w:p w14:paraId="312EBC18" w14:textId="77777777" w:rsidR="00BB7AD1" w:rsidRPr="00F03AD8" w:rsidRDefault="00BB7AD1" w:rsidP="00BB7AD1">
            <w:pPr>
              <w:spacing w:line="276" w:lineRule="auto"/>
              <w:rPr>
                <w:rFonts w:ascii="YaleNew" w:hAnsi="YaleNew"/>
                <w:sz w:val="10"/>
                <w:szCs w:val="10"/>
              </w:rPr>
            </w:pPr>
            <w:r w:rsidRPr="00F03AD8">
              <w:rPr>
                <w:rFonts w:ascii="YaleNew" w:hAnsi="YaleNew"/>
                <w:sz w:val="10"/>
                <w:szCs w:val="10"/>
              </w:rPr>
              <w:t xml:space="preserve">The Yale School of Medicine designates this live activity for 1 AMA PRA Category 1 Credit(s)™. Physicians should only claim the credit commensurate with the extent of their participation in the activity. </w:t>
            </w:r>
          </w:p>
          <w:p w14:paraId="68F2A8AD" w14:textId="77777777" w:rsidR="00BB7AD1" w:rsidRPr="00DA2A91" w:rsidRDefault="00BB7AD1" w:rsidP="00BB7AD1">
            <w:pPr>
              <w:spacing w:line="276" w:lineRule="auto"/>
              <w:rPr>
                <w:rFonts w:ascii="YaleNew" w:hAnsi="YaleNew"/>
                <w:b/>
                <w:sz w:val="10"/>
                <w:szCs w:val="10"/>
              </w:rPr>
            </w:pPr>
          </w:p>
          <w:p w14:paraId="403DEB62" w14:textId="77777777" w:rsidR="00BB7AD1" w:rsidRPr="00F03AD8" w:rsidRDefault="00BB7AD1" w:rsidP="00BB7AD1">
            <w:pPr>
              <w:spacing w:line="276" w:lineRule="auto"/>
              <w:rPr>
                <w:rFonts w:ascii="YaleNew" w:hAnsi="YaleNew"/>
                <w:b/>
                <w:color w:val="013562"/>
                <w:sz w:val="15"/>
                <w:szCs w:val="15"/>
              </w:rPr>
            </w:pPr>
            <w:r w:rsidRPr="00F03AD8">
              <w:rPr>
                <w:rFonts w:ascii="YaleNew" w:hAnsi="YaleNew"/>
                <w:b/>
                <w:color w:val="013562"/>
                <w:sz w:val="15"/>
                <w:szCs w:val="15"/>
              </w:rPr>
              <w:t xml:space="preserve">Faculty Disclosures: </w:t>
            </w:r>
          </w:p>
          <w:p w14:paraId="089C3130" w14:textId="5B002511" w:rsidR="00BB7AD1" w:rsidRPr="00D32202" w:rsidRDefault="00D32202" w:rsidP="00BB7AD1">
            <w:pPr>
              <w:spacing w:line="276" w:lineRule="auto"/>
              <w:rPr>
                <w:rFonts w:ascii="YaleNew" w:hAnsi="YaleNew"/>
                <w:sz w:val="10"/>
                <w:szCs w:val="10"/>
              </w:rPr>
            </w:pPr>
            <w:r>
              <w:rPr>
                <w:rFonts w:ascii="YaleNew" w:hAnsi="YaleNew"/>
                <w:bCs/>
                <w:sz w:val="10"/>
                <w:szCs w:val="10"/>
              </w:rPr>
              <w:softHyphen/>
            </w:r>
            <w:r>
              <w:rPr>
                <w:rFonts w:ascii="YaleNew" w:hAnsi="YaleNew"/>
                <w:bCs/>
                <w:sz w:val="10"/>
                <w:szCs w:val="10"/>
              </w:rPr>
              <w:softHyphen/>
            </w:r>
            <w:r>
              <w:rPr>
                <w:rFonts w:ascii="YaleNew" w:hAnsi="YaleNew"/>
                <w:bCs/>
                <w:sz w:val="10"/>
                <w:szCs w:val="10"/>
              </w:rPr>
              <w:softHyphen/>
            </w:r>
            <w:r>
              <w:rPr>
                <w:rFonts w:ascii="YaleNew" w:hAnsi="YaleNew"/>
                <w:bCs/>
                <w:sz w:val="10"/>
                <w:szCs w:val="10"/>
              </w:rPr>
              <w:softHyphen/>
            </w:r>
            <w:r>
              <w:rPr>
                <w:rFonts w:ascii="YaleNew" w:hAnsi="YaleNew"/>
                <w:bCs/>
                <w:sz w:val="10"/>
                <w:szCs w:val="10"/>
              </w:rPr>
              <w:softHyphen/>
            </w:r>
          </w:p>
          <w:p w14:paraId="6B17C2B2" w14:textId="77777777" w:rsidR="00BB7AD1" w:rsidRPr="00F03AD8" w:rsidRDefault="00BB7AD1" w:rsidP="00BB7AD1">
            <w:pPr>
              <w:spacing w:line="276" w:lineRule="auto"/>
              <w:rPr>
                <w:rFonts w:ascii="YaleNew" w:hAnsi="YaleNew"/>
                <w:sz w:val="10"/>
                <w:szCs w:val="10"/>
              </w:rPr>
            </w:pPr>
          </w:p>
          <w:p w14:paraId="099512B7" w14:textId="77777777" w:rsidR="00BB7AD1" w:rsidRPr="00BE4F2D" w:rsidRDefault="00BB7AD1" w:rsidP="00BB7AD1">
            <w:pPr>
              <w:spacing w:line="276" w:lineRule="auto"/>
              <w:rPr>
                <w:rFonts w:ascii="YaleNew" w:hAnsi="YaleNew"/>
                <w:sz w:val="18"/>
                <w:szCs w:val="18"/>
              </w:rPr>
            </w:pPr>
            <w:r w:rsidRPr="00F03AD8">
              <w:rPr>
                <w:rFonts w:ascii="YaleNew" w:hAnsi="YaleNew"/>
                <w:sz w:val="10"/>
                <w:szCs w:val="10"/>
              </w:rPr>
              <w:t>It is the policy of Yale School of Medicine, Continuing Medical Education, to ensure balance, independence, objectivity and scientific rigor in all its educational programs. All faculty participating as speakers in these programs are required to disclose any relevant financial relationship(s) they (or spouse or partner) have with a commercial interest that benefits the individual in any financial amount that has occurred within the past 12 months; and the opportunity to affect the content of CME about the products or services of the commercial interests. The Center for Continuing Medical Education will ensure that any conflicts of interest are resolved before the educational activity occurs.</w:t>
            </w:r>
          </w:p>
        </w:tc>
      </w:tr>
    </w:tbl>
    <w:p w14:paraId="5A91A1F3" w14:textId="16216B29" w:rsidR="00A74253" w:rsidRPr="009C1FCF" w:rsidRDefault="00D32202" w:rsidP="00A74253">
      <w:pPr>
        <w:jc w:val="center"/>
        <w:rPr>
          <w:rFonts w:ascii="YaleNew" w:hAnsi="YaleNew"/>
        </w:rPr>
      </w:pPr>
      <w:r w:rsidRPr="009C1FCF">
        <w:rPr>
          <w:rFonts w:ascii="YaleNew" w:hAnsi="YaleNew"/>
          <w:noProof/>
          <w:sz w:val="28"/>
          <w:szCs w:val="28"/>
        </w:rPr>
        <w:drawing>
          <wp:anchor distT="0" distB="0" distL="114300" distR="114300" simplePos="0" relativeHeight="251659264" behindDoc="0" locked="0" layoutInCell="1" allowOverlap="1" wp14:anchorId="465DD39F" wp14:editId="7EE5AA85">
            <wp:simplePos x="0" y="0"/>
            <wp:positionH relativeFrom="page">
              <wp:posOffset>6224423</wp:posOffset>
            </wp:positionH>
            <wp:positionV relativeFrom="paragraph">
              <wp:posOffset>2626995</wp:posOffset>
            </wp:positionV>
            <wp:extent cx="1042035" cy="620486"/>
            <wp:effectExtent l="0" t="0" r="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ME.png"/>
                    <pic:cNvPicPr/>
                  </pic:nvPicPr>
                  <pic:blipFill rotWithShape="1">
                    <a:blip r:embed="rId7" cstate="print">
                      <a:extLst>
                        <a:ext uri="{28A0092B-C50C-407E-A947-70E740481C1C}">
                          <a14:useLocalDpi xmlns:a14="http://schemas.microsoft.com/office/drawing/2010/main" val="0"/>
                        </a:ext>
                      </a:extLst>
                    </a:blip>
                    <a:srcRect t="21311" b="19130"/>
                    <a:stretch/>
                  </pic:blipFill>
                  <pic:spPr bwMode="auto">
                    <a:xfrm>
                      <a:off x="0" y="0"/>
                      <a:ext cx="1042035" cy="6204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17C7" w:rsidRPr="009C1FCF">
        <w:rPr>
          <w:rFonts w:ascii="YaleNew" w:hAnsi="YaleNew"/>
          <w:noProof/>
          <w:sz w:val="28"/>
          <w:szCs w:val="28"/>
        </w:rPr>
        <w:drawing>
          <wp:anchor distT="0" distB="0" distL="114300" distR="114300" simplePos="0" relativeHeight="251658240" behindDoc="0" locked="0" layoutInCell="1" allowOverlap="1" wp14:anchorId="478CC929" wp14:editId="1CC07E45">
            <wp:simplePos x="0" y="0"/>
            <wp:positionH relativeFrom="page">
              <wp:posOffset>457200</wp:posOffset>
            </wp:positionH>
            <wp:positionV relativeFrom="margin">
              <wp:posOffset>8820785</wp:posOffset>
            </wp:positionV>
            <wp:extent cx="2749731" cy="45014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YSM-CardioMed-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9731" cy="450142"/>
                    </a:xfrm>
                    <a:prstGeom prst="rect">
                      <a:avLst/>
                    </a:prstGeom>
                  </pic:spPr>
                </pic:pic>
              </a:graphicData>
            </a:graphic>
            <wp14:sizeRelH relativeFrom="margin">
              <wp14:pctWidth>0</wp14:pctWidth>
            </wp14:sizeRelH>
            <wp14:sizeRelV relativeFrom="margin">
              <wp14:pctHeight>0</wp14:pctHeight>
            </wp14:sizeRelV>
          </wp:anchor>
        </w:drawing>
      </w:r>
    </w:p>
    <w:p w14:paraId="2957E694" w14:textId="2C358E0A" w:rsidR="00A152A7" w:rsidRPr="009C1FCF" w:rsidRDefault="00A152A7" w:rsidP="009C1FCF">
      <w:pPr>
        <w:jc w:val="center"/>
        <w:rPr>
          <w:rFonts w:ascii="YaleNew" w:hAnsi="YaleNew" w:cs="Times New Roman (Body CS)"/>
          <w:vanish/>
        </w:rPr>
      </w:pPr>
    </w:p>
    <w:sectPr w:rsidR="00A152A7" w:rsidRPr="009C1FCF" w:rsidSect="00B62E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YaleNew">
    <w:panose1 w:val="02000602050000020003"/>
    <w:charset w:val="4D"/>
    <w:family w:val="auto"/>
    <w:notTrueType/>
    <w:pitch w:val="variable"/>
    <w:sig w:usb0="800000AF" w:usb1="5000407B" w:usb2="00000000" w:usb3="00000000" w:csb0="00000003" w:csb1="00000000"/>
  </w:font>
  <w:font w:name="09* ˛">
    <w:altName w:val="Calibri"/>
    <w:panose1 w:val="020B0604020202020204"/>
    <w:charset w:val="4D"/>
    <w:family w:val="auto"/>
    <w:notTrueType/>
    <w:pitch w:val="default"/>
    <w:sig w:usb0="00000003" w:usb1="00000000" w:usb2="00000000" w:usb3="00000000" w:csb0="00000001" w:csb1="00000000"/>
  </w:font>
  <w:font w:name="Times New Roman (Body CS)">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F6686"/>
    <w:multiLevelType w:val="hybridMultilevel"/>
    <w:tmpl w:val="DCF89D84"/>
    <w:lvl w:ilvl="0" w:tplc="471C7940">
      <w:start w:val="1"/>
      <w:numFmt w:val="decimal"/>
      <w:lvlText w:val="%1."/>
      <w:lvlJc w:val="left"/>
      <w:pPr>
        <w:ind w:left="720" w:hanging="360"/>
      </w:pPr>
      <w:rPr>
        <w:sz w:val="10"/>
        <w:szCs w:val="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AA12E4"/>
    <w:multiLevelType w:val="hybridMultilevel"/>
    <w:tmpl w:val="C0422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053F4A"/>
    <w:multiLevelType w:val="hybridMultilevel"/>
    <w:tmpl w:val="98206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332299"/>
    <w:multiLevelType w:val="hybridMultilevel"/>
    <w:tmpl w:val="1AA44D9E"/>
    <w:lvl w:ilvl="0" w:tplc="9A94CB2E">
      <w:start w:val="1"/>
      <w:numFmt w:val="decimal"/>
      <w:lvlText w:val="%1."/>
      <w:lvlJc w:val="left"/>
      <w:pPr>
        <w:ind w:left="360" w:hanging="216"/>
      </w:pPr>
      <w:rPr>
        <w:rFonts w:hint="default"/>
        <w:sz w:val="10"/>
        <w:szCs w:val="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E7081E"/>
    <w:multiLevelType w:val="hybridMultilevel"/>
    <w:tmpl w:val="525AAB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2A7"/>
    <w:rsid w:val="00027556"/>
    <w:rsid w:val="0004611D"/>
    <w:rsid w:val="0006734E"/>
    <w:rsid w:val="000E03BF"/>
    <w:rsid w:val="00127262"/>
    <w:rsid w:val="001770AB"/>
    <w:rsid w:val="001A55D3"/>
    <w:rsid w:val="001F15A0"/>
    <w:rsid w:val="002517C7"/>
    <w:rsid w:val="002C707B"/>
    <w:rsid w:val="00341178"/>
    <w:rsid w:val="00352F74"/>
    <w:rsid w:val="003638CC"/>
    <w:rsid w:val="00384DBD"/>
    <w:rsid w:val="003B1A20"/>
    <w:rsid w:val="003F2F4C"/>
    <w:rsid w:val="004565B5"/>
    <w:rsid w:val="004725F9"/>
    <w:rsid w:val="004B4567"/>
    <w:rsid w:val="00501642"/>
    <w:rsid w:val="005038DC"/>
    <w:rsid w:val="005464C4"/>
    <w:rsid w:val="00574ADF"/>
    <w:rsid w:val="005D775A"/>
    <w:rsid w:val="006673E8"/>
    <w:rsid w:val="00700C08"/>
    <w:rsid w:val="007153D7"/>
    <w:rsid w:val="00721D2E"/>
    <w:rsid w:val="00767194"/>
    <w:rsid w:val="00777DEF"/>
    <w:rsid w:val="007A5B98"/>
    <w:rsid w:val="007C425E"/>
    <w:rsid w:val="007D5030"/>
    <w:rsid w:val="007E7E1C"/>
    <w:rsid w:val="00821900"/>
    <w:rsid w:val="008408F9"/>
    <w:rsid w:val="008501C9"/>
    <w:rsid w:val="00862135"/>
    <w:rsid w:val="00872BFC"/>
    <w:rsid w:val="008B560A"/>
    <w:rsid w:val="00951831"/>
    <w:rsid w:val="0095753B"/>
    <w:rsid w:val="00965630"/>
    <w:rsid w:val="00981958"/>
    <w:rsid w:val="009C03D4"/>
    <w:rsid w:val="009C1FCF"/>
    <w:rsid w:val="009F1926"/>
    <w:rsid w:val="00A152A7"/>
    <w:rsid w:val="00A1768D"/>
    <w:rsid w:val="00A74253"/>
    <w:rsid w:val="00A85F0A"/>
    <w:rsid w:val="00B109BF"/>
    <w:rsid w:val="00B54321"/>
    <w:rsid w:val="00B56B7B"/>
    <w:rsid w:val="00B61EF9"/>
    <w:rsid w:val="00B62E6E"/>
    <w:rsid w:val="00B82B54"/>
    <w:rsid w:val="00B932AA"/>
    <w:rsid w:val="00BB7AD1"/>
    <w:rsid w:val="00BC7BD3"/>
    <w:rsid w:val="00BD4201"/>
    <w:rsid w:val="00BE4F2D"/>
    <w:rsid w:val="00BF179B"/>
    <w:rsid w:val="00C04AE8"/>
    <w:rsid w:val="00C31C12"/>
    <w:rsid w:val="00C911B9"/>
    <w:rsid w:val="00CA53BC"/>
    <w:rsid w:val="00CB2F74"/>
    <w:rsid w:val="00CC27E9"/>
    <w:rsid w:val="00CF2A0D"/>
    <w:rsid w:val="00D149DE"/>
    <w:rsid w:val="00D23922"/>
    <w:rsid w:val="00D32202"/>
    <w:rsid w:val="00D80080"/>
    <w:rsid w:val="00DA2A91"/>
    <w:rsid w:val="00DA669A"/>
    <w:rsid w:val="00E4181A"/>
    <w:rsid w:val="00E47D54"/>
    <w:rsid w:val="00F03AD8"/>
    <w:rsid w:val="00F03CB6"/>
    <w:rsid w:val="00F856CA"/>
    <w:rsid w:val="00FC2B83"/>
    <w:rsid w:val="00FD4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A2F8B"/>
  <w15:chartTrackingRefBased/>
  <w15:docId w15:val="{C5D0E6AE-41FE-AB40-A673-FDA5175D6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4ADF"/>
    <w:pPr>
      <w:keepNext/>
      <w:keepLines/>
      <w:spacing w:before="240"/>
      <w:outlineLvl w:val="0"/>
    </w:pPr>
    <w:rPr>
      <w:rFonts w:asciiTheme="majorHAnsi" w:eastAsiaTheme="majorEastAsia" w:hAnsiTheme="majorHAnsi" w:cstheme="majorBidi"/>
      <w:color w:val="474A5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CM">
    <w:name w:val="YCM"/>
    <w:next w:val="Heading1"/>
    <w:autoRedefine/>
    <w:qFormat/>
    <w:rsid w:val="00574ADF"/>
    <w:rPr>
      <w:rFonts w:ascii="YaleNew" w:hAnsi="YaleNew"/>
      <w:sz w:val="36"/>
    </w:rPr>
  </w:style>
  <w:style w:type="character" w:customStyle="1" w:styleId="Heading1Char">
    <w:name w:val="Heading 1 Char"/>
    <w:basedOn w:val="DefaultParagraphFont"/>
    <w:link w:val="Heading1"/>
    <w:uiPriority w:val="9"/>
    <w:rsid w:val="00574ADF"/>
    <w:rPr>
      <w:rFonts w:asciiTheme="majorHAnsi" w:eastAsiaTheme="majorEastAsia" w:hAnsiTheme="majorHAnsi" w:cstheme="majorBidi"/>
      <w:color w:val="474A55" w:themeColor="accent1" w:themeShade="BF"/>
      <w:sz w:val="32"/>
      <w:szCs w:val="32"/>
    </w:rPr>
  </w:style>
  <w:style w:type="paragraph" w:styleId="Title">
    <w:name w:val="Title"/>
    <w:basedOn w:val="Normal"/>
    <w:next w:val="Normal"/>
    <w:link w:val="TitleChar"/>
    <w:uiPriority w:val="10"/>
    <w:qFormat/>
    <w:rsid w:val="00A152A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52A7"/>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A74253"/>
    <w:rPr>
      <w:color w:val="85C4D2" w:themeColor="hyperlink"/>
      <w:u w:val="single"/>
    </w:rPr>
  </w:style>
  <w:style w:type="character" w:styleId="UnresolvedMention">
    <w:name w:val="Unresolved Mention"/>
    <w:basedOn w:val="DefaultParagraphFont"/>
    <w:uiPriority w:val="99"/>
    <w:semiHidden/>
    <w:unhideWhenUsed/>
    <w:rsid w:val="00A74253"/>
    <w:rPr>
      <w:color w:val="605E5C"/>
      <w:shd w:val="clear" w:color="auto" w:fill="E1DFDD"/>
    </w:rPr>
  </w:style>
  <w:style w:type="table" w:styleId="TableGridLight">
    <w:name w:val="Grid Table Light"/>
    <w:basedOn w:val="TableNormal"/>
    <w:uiPriority w:val="40"/>
    <w:rsid w:val="00A7425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A74253"/>
    <w:pPr>
      <w:ind w:left="720"/>
      <w:contextualSpacing/>
    </w:pPr>
  </w:style>
  <w:style w:type="table" w:styleId="TableGrid">
    <w:name w:val="Table Grid"/>
    <w:basedOn w:val="TableNormal"/>
    <w:uiPriority w:val="39"/>
    <w:rsid w:val="00A7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E7E1C"/>
    <w:rPr>
      <w:color w:val="8E8CA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71459">
      <w:bodyDiv w:val="1"/>
      <w:marLeft w:val="0"/>
      <w:marRight w:val="0"/>
      <w:marTop w:val="0"/>
      <w:marBottom w:val="0"/>
      <w:divBdr>
        <w:top w:val="none" w:sz="0" w:space="0" w:color="auto"/>
        <w:left w:val="none" w:sz="0" w:space="0" w:color="auto"/>
        <w:bottom w:val="none" w:sz="0" w:space="0" w:color="auto"/>
        <w:right w:val="none" w:sz="0" w:space="0" w:color="auto"/>
      </w:divBdr>
    </w:div>
    <w:div w:id="265695613">
      <w:bodyDiv w:val="1"/>
      <w:marLeft w:val="0"/>
      <w:marRight w:val="0"/>
      <w:marTop w:val="0"/>
      <w:marBottom w:val="0"/>
      <w:divBdr>
        <w:top w:val="none" w:sz="0" w:space="0" w:color="auto"/>
        <w:left w:val="none" w:sz="0" w:space="0" w:color="auto"/>
        <w:bottom w:val="none" w:sz="0" w:space="0" w:color="auto"/>
        <w:right w:val="none" w:sz="0" w:space="0" w:color="auto"/>
      </w:divBdr>
    </w:div>
    <w:div w:id="698629008">
      <w:bodyDiv w:val="1"/>
      <w:marLeft w:val="0"/>
      <w:marRight w:val="0"/>
      <w:marTop w:val="0"/>
      <w:marBottom w:val="0"/>
      <w:divBdr>
        <w:top w:val="none" w:sz="0" w:space="0" w:color="auto"/>
        <w:left w:val="none" w:sz="0" w:space="0" w:color="auto"/>
        <w:bottom w:val="none" w:sz="0" w:space="0" w:color="auto"/>
        <w:right w:val="none" w:sz="0" w:space="0" w:color="auto"/>
      </w:divBdr>
    </w:div>
    <w:div w:id="142672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Feathered">
  <a:themeElements>
    <a:clrScheme name="Feathered">
      <a:dk1>
        <a:sysClr val="windowText" lastClr="000000"/>
      </a:dk1>
      <a:lt1>
        <a:sysClr val="window" lastClr="FFFFFF"/>
      </a:lt1>
      <a:dk2>
        <a:srgbClr val="121316"/>
      </a:dk2>
      <a:lt2>
        <a:srgbClr val="FEFCF7"/>
      </a:lt2>
      <a:accent1>
        <a:srgbClr val="606372"/>
      </a:accent1>
      <a:accent2>
        <a:srgbClr val="79A8A4"/>
      </a:accent2>
      <a:accent3>
        <a:srgbClr val="B2AD8F"/>
      </a:accent3>
      <a:accent4>
        <a:srgbClr val="AD8082"/>
      </a:accent4>
      <a:accent5>
        <a:srgbClr val="DEC18C"/>
      </a:accent5>
      <a:accent6>
        <a:srgbClr val="92A185"/>
      </a:accent6>
      <a:hlink>
        <a:srgbClr val="85C4D2"/>
      </a:hlink>
      <a:folHlink>
        <a:srgbClr val="8E8CA7"/>
      </a:folHlink>
    </a:clrScheme>
    <a:fontScheme name="Feathered">
      <a:majorFont>
        <a:latin typeface="Century Schoolbook" panose="02040604050505020304"/>
        <a:ea typeface=""/>
        <a:cs typeface=""/>
      </a:majorFont>
      <a:minorFont>
        <a:latin typeface="Calibri" panose="020F0502020204030204"/>
        <a:ea typeface=""/>
        <a:cs typeface=""/>
      </a:minorFont>
    </a:fontScheme>
    <a:fmtScheme name="Feathered">
      <a:fillStyleLst>
        <a:solidFill>
          <a:schemeClr val="phClr"/>
        </a:solidFill>
        <a:solidFill>
          <a:schemeClr val="phClr">
            <a:tint val="67000"/>
            <a:satMod val="105000"/>
          </a:schemeClr>
        </a:solidFill>
        <a:gradFill rotWithShape="1">
          <a:gsLst>
            <a:gs pos="0">
              <a:schemeClr val="phClr">
                <a:tint val="94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tint val="50000"/>
              <a:shade val="83000"/>
            </a:schemeClr>
          </a:solidFill>
          <a:prstDash val="solid"/>
        </a:ln>
      </a:lnStyleLst>
      <a:effectStyleLst>
        <a:effectStyle>
          <a:effectLst/>
        </a:effectStyle>
        <a:effectStyle>
          <a:effectLst/>
        </a:effectStyle>
        <a:effectStyle>
          <a:effectLst>
            <a:outerShdw blurRad="57150" dist="25400" dir="5400000" algn="ctr" rotWithShape="0">
              <a:srgbClr val="000000">
                <a:alpha val="2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athered" id="{EEC9B30E-2747-4D42-BCBE-A02BDEEEA114}" vid="{AACE42CE-5C67-4514-8A89-3472F564E146}"/>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Reitman, Elisabeth</dc:creator>
  <cp:keywords/>
  <dc:description/>
  <cp:lastModifiedBy>Reitman, Elisabeth</cp:lastModifiedBy>
  <cp:revision>2</cp:revision>
  <cp:lastPrinted>2019-05-03T15:27:00Z</cp:lastPrinted>
  <dcterms:created xsi:type="dcterms:W3CDTF">2019-10-03T15:06:00Z</dcterms:created>
  <dcterms:modified xsi:type="dcterms:W3CDTF">2019-10-03T15:06:00Z</dcterms:modified>
</cp:coreProperties>
</file>