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742" w:rsidRPr="0018675B" w:rsidRDefault="00FB6742" w:rsidP="00FB6742">
      <w:pPr>
        <w:spacing w:line="240" w:lineRule="auto"/>
        <w:rPr>
          <w:rFonts w:cstheme="minorHAnsi"/>
          <w:b/>
          <w:sz w:val="24"/>
          <w:szCs w:val="24"/>
        </w:rPr>
      </w:pPr>
      <w:r w:rsidRPr="0018675B">
        <w:rPr>
          <w:rFonts w:cstheme="minorHAnsi"/>
          <w:b/>
          <w:sz w:val="24"/>
          <w:szCs w:val="24"/>
        </w:rPr>
        <w:t>References</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fldChar w:fldCharType="begin"/>
      </w:r>
      <w:r w:rsidRPr="0018675B">
        <w:rPr>
          <w:rFonts w:asciiTheme="minorHAnsi" w:hAnsiTheme="minorHAnsi" w:cstheme="minorHAnsi"/>
          <w:szCs w:val="24"/>
        </w:rPr>
        <w:instrText xml:space="preserve"> ADDIN EN.REFLIST </w:instrText>
      </w:r>
      <w:r w:rsidRPr="0018675B">
        <w:rPr>
          <w:rFonts w:asciiTheme="minorHAnsi" w:hAnsiTheme="minorHAnsi" w:cstheme="minorHAnsi"/>
          <w:szCs w:val="24"/>
        </w:rPr>
        <w:fldChar w:fldCharType="separate"/>
      </w:r>
      <w:r w:rsidRPr="0018675B">
        <w:rPr>
          <w:rFonts w:asciiTheme="minorHAnsi" w:hAnsiTheme="minorHAnsi" w:cstheme="minorHAnsi"/>
          <w:szCs w:val="24"/>
        </w:rPr>
        <w:t>1.</w:t>
      </w:r>
      <w:r w:rsidRPr="0018675B">
        <w:rPr>
          <w:rFonts w:asciiTheme="minorHAnsi" w:hAnsiTheme="minorHAnsi" w:cstheme="minorHAnsi"/>
          <w:szCs w:val="24"/>
        </w:rPr>
        <w:tab/>
        <w:t xml:space="preserve">McLaughlin KA, Green JG, Gruber MJ, Sampson NA, Zaslavsky AM, Kessler RC. Childhood adversities and adult psychiatric disorders in the national comorbidity survey replication II: associations with persistence of DSM-IV disorders. </w:t>
      </w:r>
      <w:r w:rsidRPr="0018675B">
        <w:rPr>
          <w:rFonts w:asciiTheme="minorHAnsi" w:hAnsiTheme="minorHAnsi" w:cstheme="minorHAnsi"/>
          <w:i/>
          <w:szCs w:val="24"/>
        </w:rPr>
        <w:t xml:space="preserve">Archives of general psychiatry. </w:t>
      </w:r>
      <w:r w:rsidRPr="0018675B">
        <w:rPr>
          <w:rFonts w:asciiTheme="minorHAnsi" w:hAnsiTheme="minorHAnsi" w:cstheme="minorHAnsi"/>
          <w:szCs w:val="24"/>
        </w:rPr>
        <w:t>2010;67(2):124-132.</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t>2.</w:t>
      </w:r>
      <w:r w:rsidRPr="0018675B">
        <w:rPr>
          <w:rFonts w:asciiTheme="minorHAnsi" w:hAnsiTheme="minorHAnsi" w:cstheme="minorHAnsi"/>
          <w:szCs w:val="24"/>
        </w:rPr>
        <w:tab/>
        <w:t xml:space="preserve">Burke NJ, Hellman JL, Scott BG, Weems CF, Carrion VG. The impact of adverse childhood experiences on an urban pediatric population. </w:t>
      </w:r>
      <w:r w:rsidRPr="0018675B">
        <w:rPr>
          <w:rFonts w:asciiTheme="minorHAnsi" w:hAnsiTheme="minorHAnsi" w:cstheme="minorHAnsi"/>
          <w:i/>
          <w:szCs w:val="24"/>
        </w:rPr>
        <w:t xml:space="preserve">Child Abuse Negl. </w:t>
      </w:r>
      <w:r w:rsidRPr="0018675B">
        <w:rPr>
          <w:rFonts w:asciiTheme="minorHAnsi" w:hAnsiTheme="minorHAnsi" w:cstheme="minorHAnsi"/>
          <w:szCs w:val="24"/>
        </w:rPr>
        <w:t>2011;35(6):408-413.</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t>3.</w:t>
      </w:r>
      <w:r w:rsidRPr="0018675B">
        <w:rPr>
          <w:rFonts w:asciiTheme="minorHAnsi" w:hAnsiTheme="minorHAnsi" w:cstheme="minorHAnsi"/>
          <w:szCs w:val="24"/>
        </w:rPr>
        <w:tab/>
        <w:t xml:space="preserve">Felitti VJ, Anda RF, Nordenberg D, et al. Relationship of childhood abuse and household dysfunction to many of the leading causes of death in adults. The Adverse Childhood Experiences (ACE) Study. </w:t>
      </w:r>
      <w:r w:rsidRPr="0018675B">
        <w:rPr>
          <w:rFonts w:asciiTheme="minorHAnsi" w:hAnsiTheme="minorHAnsi" w:cstheme="minorHAnsi"/>
          <w:i/>
          <w:szCs w:val="24"/>
        </w:rPr>
        <w:t xml:space="preserve">American journal of preventive medicine. </w:t>
      </w:r>
      <w:r w:rsidRPr="0018675B">
        <w:rPr>
          <w:rFonts w:asciiTheme="minorHAnsi" w:hAnsiTheme="minorHAnsi" w:cstheme="minorHAnsi"/>
          <w:szCs w:val="24"/>
        </w:rPr>
        <w:t>1998;14(4):245-258.</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t>4.</w:t>
      </w:r>
      <w:r w:rsidRPr="0018675B">
        <w:rPr>
          <w:rFonts w:asciiTheme="minorHAnsi" w:hAnsiTheme="minorHAnsi" w:cstheme="minorHAnsi"/>
          <w:szCs w:val="24"/>
        </w:rPr>
        <w:tab/>
        <w:t xml:space="preserve">Yang BZ, Zhang H, Ge W, et al. Child abuse and epigenetic mechanisms of disease risk. </w:t>
      </w:r>
      <w:r w:rsidRPr="0018675B">
        <w:rPr>
          <w:rFonts w:asciiTheme="minorHAnsi" w:hAnsiTheme="minorHAnsi" w:cstheme="minorHAnsi"/>
          <w:i/>
          <w:szCs w:val="24"/>
        </w:rPr>
        <w:t xml:space="preserve">American journal of preventive medicine. </w:t>
      </w:r>
      <w:r w:rsidRPr="0018675B">
        <w:rPr>
          <w:rFonts w:asciiTheme="minorHAnsi" w:hAnsiTheme="minorHAnsi" w:cstheme="minorHAnsi"/>
          <w:szCs w:val="24"/>
        </w:rPr>
        <w:t>2013;44(2):101-107.</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t>5.</w:t>
      </w:r>
      <w:r w:rsidRPr="0018675B">
        <w:rPr>
          <w:rFonts w:asciiTheme="minorHAnsi" w:hAnsiTheme="minorHAnsi" w:cstheme="minorHAnsi"/>
          <w:szCs w:val="24"/>
        </w:rPr>
        <w:tab/>
        <w:t xml:space="preserve">Masten AS. Ordinary magic. Resilience processes in development. </w:t>
      </w:r>
      <w:r w:rsidRPr="0018675B">
        <w:rPr>
          <w:rFonts w:asciiTheme="minorHAnsi" w:hAnsiTheme="minorHAnsi" w:cstheme="minorHAnsi"/>
          <w:i/>
          <w:szCs w:val="24"/>
        </w:rPr>
        <w:t xml:space="preserve">Am Psychol. </w:t>
      </w:r>
      <w:r w:rsidRPr="0018675B">
        <w:rPr>
          <w:rFonts w:asciiTheme="minorHAnsi" w:hAnsiTheme="minorHAnsi" w:cstheme="minorHAnsi"/>
          <w:szCs w:val="24"/>
        </w:rPr>
        <w:t>2001;56(3):227-238.</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t>6.</w:t>
      </w:r>
      <w:r w:rsidRPr="0018675B">
        <w:rPr>
          <w:rFonts w:asciiTheme="minorHAnsi" w:hAnsiTheme="minorHAnsi" w:cstheme="minorHAnsi"/>
          <w:szCs w:val="24"/>
        </w:rPr>
        <w:tab/>
        <w:t xml:space="preserve">Wu X, Kaminga AC, Dai W, et al. The prevalence of moderate-to-high posttraumatic growth: A systematic review and meta-analysis. </w:t>
      </w:r>
      <w:r w:rsidRPr="0018675B">
        <w:rPr>
          <w:rFonts w:asciiTheme="minorHAnsi" w:hAnsiTheme="minorHAnsi" w:cstheme="minorHAnsi"/>
          <w:i/>
          <w:szCs w:val="24"/>
        </w:rPr>
        <w:t xml:space="preserve">J Affect Disord. </w:t>
      </w:r>
      <w:r w:rsidRPr="0018675B">
        <w:rPr>
          <w:rFonts w:asciiTheme="minorHAnsi" w:hAnsiTheme="minorHAnsi" w:cstheme="minorHAnsi"/>
          <w:szCs w:val="24"/>
        </w:rPr>
        <w:t>2019;243:408-415.</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t>7.</w:t>
      </w:r>
      <w:r w:rsidRPr="0018675B">
        <w:rPr>
          <w:rFonts w:asciiTheme="minorHAnsi" w:hAnsiTheme="minorHAnsi" w:cstheme="minorHAnsi"/>
          <w:szCs w:val="24"/>
        </w:rPr>
        <w:tab/>
        <w:t xml:space="preserve">Tedeschi RG, Calhoun LG. The Posttraumatic Growth Inventory: measuring the positive legacy of trauma. </w:t>
      </w:r>
      <w:r w:rsidRPr="0018675B">
        <w:rPr>
          <w:rFonts w:asciiTheme="minorHAnsi" w:hAnsiTheme="minorHAnsi" w:cstheme="minorHAnsi"/>
          <w:i/>
          <w:szCs w:val="24"/>
        </w:rPr>
        <w:t xml:space="preserve">J Trauma Stress. </w:t>
      </w:r>
      <w:r w:rsidRPr="0018675B">
        <w:rPr>
          <w:rFonts w:asciiTheme="minorHAnsi" w:hAnsiTheme="minorHAnsi" w:cstheme="minorHAnsi"/>
          <w:szCs w:val="24"/>
        </w:rPr>
        <w:t>1996;9(3):455-471.</w:t>
      </w:r>
    </w:p>
    <w:p w:rsidR="00FB6742" w:rsidRPr="0018675B" w:rsidRDefault="00FB6742" w:rsidP="00FB6742">
      <w:pPr>
        <w:pStyle w:val="EndNoteBibliography"/>
        <w:spacing w:after="0"/>
        <w:ind w:left="720" w:hanging="720"/>
        <w:rPr>
          <w:rFonts w:asciiTheme="minorHAnsi" w:hAnsiTheme="minorHAnsi" w:cstheme="minorHAnsi"/>
          <w:szCs w:val="24"/>
        </w:rPr>
      </w:pPr>
      <w:r w:rsidRPr="0018675B">
        <w:rPr>
          <w:rFonts w:asciiTheme="minorHAnsi" w:hAnsiTheme="minorHAnsi" w:cstheme="minorHAnsi"/>
          <w:szCs w:val="24"/>
        </w:rPr>
        <w:t>8.</w:t>
      </w:r>
      <w:r w:rsidRPr="0018675B">
        <w:rPr>
          <w:rFonts w:asciiTheme="minorHAnsi" w:hAnsiTheme="minorHAnsi" w:cstheme="minorHAnsi"/>
          <w:szCs w:val="24"/>
        </w:rPr>
        <w:tab/>
        <w:t xml:space="preserve">Russo SJ, Murrough JW, Han MH, Charney DS, Nestler EJ. Neurobiology of resilience. </w:t>
      </w:r>
      <w:r w:rsidRPr="0018675B">
        <w:rPr>
          <w:rFonts w:asciiTheme="minorHAnsi" w:hAnsiTheme="minorHAnsi" w:cstheme="minorHAnsi"/>
          <w:i/>
          <w:szCs w:val="24"/>
        </w:rPr>
        <w:t xml:space="preserve">Nature neuroscience. </w:t>
      </w:r>
      <w:r w:rsidRPr="0018675B">
        <w:rPr>
          <w:rFonts w:asciiTheme="minorHAnsi" w:hAnsiTheme="minorHAnsi" w:cstheme="minorHAnsi"/>
          <w:szCs w:val="24"/>
        </w:rPr>
        <w:t>2012;15(11):1475-1484.</w:t>
      </w:r>
    </w:p>
    <w:p w:rsidR="00FB6742" w:rsidRPr="0018675B" w:rsidRDefault="00FB6742" w:rsidP="00FB6742">
      <w:pPr>
        <w:pStyle w:val="EndNoteBibliography"/>
        <w:ind w:left="720" w:hanging="720"/>
        <w:rPr>
          <w:rFonts w:asciiTheme="minorHAnsi" w:hAnsiTheme="minorHAnsi" w:cstheme="minorHAnsi"/>
          <w:szCs w:val="24"/>
        </w:rPr>
      </w:pPr>
      <w:r w:rsidRPr="0018675B">
        <w:rPr>
          <w:rFonts w:asciiTheme="minorHAnsi" w:hAnsiTheme="minorHAnsi" w:cstheme="minorHAnsi"/>
          <w:szCs w:val="24"/>
        </w:rPr>
        <w:t>9.</w:t>
      </w:r>
      <w:r w:rsidRPr="0018675B">
        <w:rPr>
          <w:rFonts w:asciiTheme="minorHAnsi" w:hAnsiTheme="minorHAnsi" w:cstheme="minorHAnsi"/>
          <w:szCs w:val="24"/>
        </w:rPr>
        <w:tab/>
        <w:t xml:space="preserve">Levine SZ, Laufer A, Hamama-Raz Y, Stein E, Solomon Z. Posttraumatic growth in adolescence: examining its components and relationship with PTSD. </w:t>
      </w:r>
      <w:r w:rsidRPr="0018675B">
        <w:rPr>
          <w:rFonts w:asciiTheme="minorHAnsi" w:hAnsiTheme="minorHAnsi" w:cstheme="minorHAnsi"/>
          <w:i/>
          <w:szCs w:val="24"/>
        </w:rPr>
        <w:t xml:space="preserve">J Trauma Stress. </w:t>
      </w:r>
      <w:r w:rsidRPr="0018675B">
        <w:rPr>
          <w:rFonts w:asciiTheme="minorHAnsi" w:hAnsiTheme="minorHAnsi" w:cstheme="minorHAnsi"/>
          <w:szCs w:val="24"/>
        </w:rPr>
        <w:t>2008;21(5):492-496.</w:t>
      </w:r>
    </w:p>
    <w:p w:rsidR="00D5749E" w:rsidRDefault="00FB6742" w:rsidP="00FB6742">
      <w:r w:rsidRPr="0018675B">
        <w:rPr>
          <w:rFonts w:cstheme="minorHAnsi"/>
          <w:sz w:val="24"/>
          <w:szCs w:val="24"/>
        </w:rPr>
        <w:fldChar w:fldCharType="end"/>
      </w:r>
      <w:bookmarkStart w:id="0" w:name="_GoBack"/>
      <w:bookmarkEnd w:id="0"/>
    </w:p>
    <w:sectPr w:rsidR="00D5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42"/>
    <w:rsid w:val="00D5749E"/>
    <w:rsid w:val="00FB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375D-FF26-452B-8D04-7CD1B476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FB6742"/>
    <w:rPr>
      <w:rFonts w:ascii="Times New Roman" w:hAnsi="Times New Roman" w:cs="Times New Roman"/>
      <w:noProof/>
      <w:sz w:val="24"/>
    </w:rPr>
  </w:style>
  <w:style w:type="paragraph" w:customStyle="1" w:styleId="EndNoteBibliography">
    <w:name w:val="EndNote Bibliography"/>
    <w:basedOn w:val="Normal"/>
    <w:link w:val="EndNoteBibliographyChar"/>
    <w:rsid w:val="00FB6742"/>
    <w:pPr>
      <w:spacing w:line="240" w:lineRule="auto"/>
    </w:pPr>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1354</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Tomassi, Alexa</dc:creator>
  <cp:keywords/>
  <dc:description/>
  <cp:lastModifiedBy>Tomassi, Alexa</cp:lastModifiedBy>
  <cp:revision>1</cp:revision>
  <dcterms:created xsi:type="dcterms:W3CDTF">2020-06-17T15:17:00Z</dcterms:created>
  <dcterms:modified xsi:type="dcterms:W3CDTF">2020-06-17T15:18:00Z</dcterms:modified>
</cp:coreProperties>
</file>