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1F76" w14:textId="77777777" w:rsidR="000A4A5D" w:rsidRDefault="00D66C4B" w:rsidP="00654C31">
      <w:pPr>
        <w:tabs>
          <w:tab w:val="right" w:pos="9360"/>
        </w:tabs>
      </w:pPr>
      <w:r>
        <w:tab/>
      </w:r>
    </w:p>
    <w:p w14:paraId="0D1BAE6B" w14:textId="5F08FB61" w:rsidR="000A4A5D" w:rsidRDefault="00D66C4B" w:rsidP="00EF3297">
      <w:pPr>
        <w:pStyle w:val="granted"/>
        <w:spacing w:before="0" w:beforeAutospacing="0" w:after="0" w:afterAutospacing="0"/>
        <w:jc w:val="center"/>
        <w:rPr>
          <w:rFonts w:ascii="Arial" w:hAnsi="Arial" w:cs="Arial"/>
          <w:b/>
          <w:bCs/>
          <w:color w:val="08B5E2"/>
          <w:sz w:val="28"/>
          <w:szCs w:val="28"/>
        </w:rPr>
      </w:pPr>
      <w:r w:rsidRPr="00841998">
        <w:rPr>
          <w:rFonts w:ascii="Arial" w:hAnsi="Arial" w:cs="Arial"/>
          <w:b/>
          <w:bCs/>
          <w:color w:val="08B5E2"/>
          <w:sz w:val="28"/>
          <w:szCs w:val="28"/>
        </w:rPr>
        <w:t xml:space="preserve">Presented by: </w:t>
      </w:r>
      <w:r w:rsidRPr="00841998">
        <w:rPr>
          <w:rFonts w:ascii="Arial" w:hAnsi="Arial" w:cs="Arial"/>
          <w:b/>
          <w:bCs/>
          <w:noProof/>
          <w:color w:val="08B5E2"/>
          <w:sz w:val="28"/>
          <w:szCs w:val="28"/>
        </w:rPr>
        <w:t xml:space="preserve">Obstetrics, </w:t>
      </w:r>
      <w:r w:rsidRPr="00841998">
        <w:rPr>
          <w:rFonts w:ascii="Arial" w:hAnsi="Arial" w:cs="Arial"/>
          <w:b/>
          <w:bCs/>
          <w:color w:val="08B5E2"/>
          <w:sz w:val="28"/>
          <w:szCs w:val="28"/>
        </w:rPr>
        <w:t>Gynecology and Reproductive Sciences</w:t>
      </w:r>
    </w:p>
    <w:p w14:paraId="7A1E08CC" w14:textId="77777777" w:rsidR="00EF3297" w:rsidRDefault="00EF3297" w:rsidP="00EF3297">
      <w:pPr>
        <w:jc w:val="center"/>
        <w:rPr>
          <w:rFonts w:ascii="Arial" w:eastAsia="Cambria" w:hAnsi="Arial" w:cs="Arial"/>
          <w:noProof/>
          <w:color w:val="000000"/>
          <w:sz w:val="22"/>
          <w:szCs w:val="22"/>
        </w:rPr>
      </w:pPr>
      <w:r>
        <w:t>Weekly Grand Rounds Series (Live Activity and Virtual)</w:t>
      </w:r>
    </w:p>
    <w:p w14:paraId="76A0B404" w14:textId="473D6CE4" w:rsidR="00EF3297" w:rsidRPr="00FA5C17" w:rsidRDefault="00EF3297" w:rsidP="00EF3297">
      <w:pPr>
        <w:pStyle w:val="granted"/>
        <w:spacing w:before="0" w:beforeAutospacing="0" w:after="0" w:afterAutospacing="0"/>
        <w:jc w:val="center"/>
        <w:rPr>
          <w:rFonts w:ascii="Arial" w:hAnsi="Arial" w:cs="Arial"/>
          <w:b/>
          <w:bCs/>
          <w:color w:val="FF0000"/>
          <w:sz w:val="28"/>
          <w:szCs w:val="28"/>
        </w:rPr>
      </w:pPr>
      <w:r>
        <w:rPr>
          <w:rFonts w:ascii="Arial" w:eastAsia="Cambria" w:hAnsi="Arial" w:cs="Arial"/>
          <w:b/>
          <w:bCs/>
          <w:iCs w:val="0"/>
          <w:sz w:val="22"/>
          <w:szCs w:val="22"/>
        </w:rPr>
        <w:t xml:space="preserve">Texting code for </w:t>
      </w:r>
      <w:r w:rsidR="00FE6431">
        <w:rPr>
          <w:rFonts w:ascii="Arial" w:eastAsia="Cambria" w:hAnsi="Arial" w:cs="Arial"/>
          <w:b/>
          <w:bCs/>
          <w:iCs w:val="0"/>
          <w:sz w:val="22"/>
          <w:szCs w:val="22"/>
        </w:rPr>
        <w:t xml:space="preserve">this </w:t>
      </w:r>
      <w:r>
        <w:rPr>
          <w:rFonts w:ascii="Arial" w:eastAsia="Cambria" w:hAnsi="Arial" w:cs="Arial"/>
          <w:b/>
          <w:bCs/>
          <w:iCs w:val="0"/>
          <w:sz w:val="22"/>
          <w:szCs w:val="22"/>
        </w:rPr>
        <w:t xml:space="preserve">session: </w:t>
      </w:r>
      <w:r w:rsidRPr="005F06E1">
        <w:rPr>
          <w:rFonts w:ascii="Arial" w:eastAsia="Cambria" w:hAnsi="Arial" w:cs="Arial"/>
          <w:b/>
          <w:bCs/>
          <w:iCs w:val="0"/>
          <w:noProof/>
          <w:color w:val="2F5496" w:themeColor="accent1" w:themeShade="BF"/>
          <w:sz w:val="22"/>
          <w:szCs w:val="22"/>
        </w:rPr>
        <w:t>28</w:t>
      </w:r>
      <w:r w:rsidR="00FA6AEF" w:rsidRPr="005F06E1">
        <w:rPr>
          <w:rFonts w:ascii="Arial" w:eastAsia="Cambria" w:hAnsi="Arial" w:cs="Arial"/>
          <w:b/>
          <w:bCs/>
          <w:iCs w:val="0"/>
          <w:noProof/>
          <w:color w:val="2F5496" w:themeColor="accent1" w:themeShade="BF"/>
          <w:sz w:val="22"/>
          <w:szCs w:val="22"/>
        </w:rPr>
        <w:t>6</w:t>
      </w:r>
      <w:r w:rsidR="00BA49B3" w:rsidRPr="005F06E1">
        <w:rPr>
          <w:rFonts w:ascii="Arial" w:eastAsia="Cambria" w:hAnsi="Arial" w:cs="Arial"/>
          <w:b/>
          <w:bCs/>
          <w:iCs w:val="0"/>
          <w:noProof/>
          <w:color w:val="2F5496" w:themeColor="accent1" w:themeShade="BF"/>
          <w:sz w:val="22"/>
          <w:szCs w:val="22"/>
        </w:rPr>
        <w:t>2</w:t>
      </w:r>
      <w:r w:rsidR="005F06E1" w:rsidRPr="005F06E1">
        <w:rPr>
          <w:rFonts w:ascii="Arial" w:eastAsia="Cambria" w:hAnsi="Arial" w:cs="Arial"/>
          <w:b/>
          <w:bCs/>
          <w:iCs w:val="0"/>
          <w:noProof/>
          <w:color w:val="2F5496" w:themeColor="accent1" w:themeShade="BF"/>
          <w:sz w:val="22"/>
          <w:szCs w:val="22"/>
        </w:rPr>
        <w:t>5</w:t>
      </w:r>
    </w:p>
    <w:p w14:paraId="7A5ED5FF" w14:textId="77777777" w:rsidR="00EF3297" w:rsidRPr="00FA6AEF" w:rsidRDefault="00EF3297" w:rsidP="00FA6AEF">
      <w:pPr>
        <w:spacing w:line="192" w:lineRule="auto"/>
        <w:jc w:val="center"/>
        <w:rPr>
          <w:rFonts w:asciiTheme="minorHAnsi" w:eastAsia="Cambria" w:hAnsiTheme="minorHAnsi" w:cstheme="minorHAnsi"/>
          <w:noProof/>
          <w:sz w:val="24"/>
          <w:szCs w:val="24"/>
        </w:rPr>
      </w:pPr>
    </w:p>
    <w:p w14:paraId="33255CEF" w14:textId="271ADBBD" w:rsidR="008554FA" w:rsidRPr="004921EA" w:rsidRDefault="00F21EE8" w:rsidP="00F816A8">
      <w:pPr>
        <w:spacing w:line="216" w:lineRule="auto"/>
        <w:ind w:left="216"/>
        <w:jc w:val="center"/>
        <w:rPr>
          <w:rFonts w:ascii="Georgia" w:hAnsi="Georgia"/>
          <w:b/>
          <w:bCs/>
          <w:color w:val="2F5496" w:themeColor="accent1" w:themeShade="BF"/>
          <w:sz w:val="40"/>
          <w:szCs w:val="40"/>
        </w:rPr>
      </w:pPr>
      <w:r w:rsidRPr="00F21EE8">
        <w:rPr>
          <w:rFonts w:ascii="Georgia" w:hAnsi="Georgia"/>
          <w:b/>
          <w:bCs/>
          <w:color w:val="2F5496" w:themeColor="accent1" w:themeShade="BF"/>
          <w:sz w:val="40"/>
          <w:szCs w:val="40"/>
        </w:rPr>
        <w:t>Endometriosis and the Mechanisms of Progesterone Resistance</w:t>
      </w:r>
    </w:p>
    <w:p w14:paraId="3B15CA18" w14:textId="2AF7D279" w:rsidR="00065155" w:rsidRPr="00065155" w:rsidRDefault="00F21EE8" w:rsidP="00F816A8">
      <w:pPr>
        <w:spacing w:line="216" w:lineRule="auto"/>
        <w:ind w:left="216"/>
        <w:jc w:val="center"/>
        <w:rPr>
          <w:rFonts w:ascii="Georgia" w:hAnsi="Georgia"/>
          <w:b/>
          <w:bCs/>
          <w:color w:val="2F5496" w:themeColor="accent1" w:themeShade="BF"/>
          <w:sz w:val="22"/>
          <w:szCs w:val="22"/>
        </w:rPr>
      </w:pPr>
      <w:r w:rsidRPr="00F21EE8">
        <w:rPr>
          <w:noProof/>
        </w:rPr>
        <w:drawing>
          <wp:inline distT="0" distB="0" distL="0" distR="0" wp14:anchorId="1F72CA44" wp14:editId="5DA0CF78">
            <wp:extent cx="1325725" cy="1984709"/>
            <wp:effectExtent l="0" t="0" r="8255" b="0"/>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502" cy="2009826"/>
                    </a:xfrm>
                    <a:prstGeom prst="rect">
                      <a:avLst/>
                    </a:prstGeom>
                    <a:noFill/>
                    <a:ln>
                      <a:noFill/>
                    </a:ln>
                  </pic:spPr>
                </pic:pic>
              </a:graphicData>
            </a:graphic>
          </wp:inline>
        </w:drawing>
      </w:r>
    </w:p>
    <w:tbl>
      <w:tblPr>
        <w:tblStyle w:val="TableGrid"/>
        <w:tblW w:w="11250" w:type="dxa"/>
        <w:jc w:val="center"/>
        <w:tblBorders>
          <w:insideH w:val="single" w:sz="24" w:space="0" w:color="FFC000"/>
        </w:tblBorders>
        <w:tblLook w:val="04A0" w:firstRow="1" w:lastRow="0" w:firstColumn="1" w:lastColumn="0" w:noHBand="0" w:noVBand="1"/>
      </w:tblPr>
      <w:tblGrid>
        <w:gridCol w:w="1530"/>
        <w:gridCol w:w="8190"/>
        <w:gridCol w:w="1530"/>
      </w:tblGrid>
      <w:tr w:rsidR="001F3884" w14:paraId="659640D8" w14:textId="77777777" w:rsidTr="00F21EE8">
        <w:trPr>
          <w:trHeight w:val="333"/>
          <w:jc w:val="center"/>
        </w:trPr>
        <w:tc>
          <w:tcPr>
            <w:tcW w:w="1530" w:type="dxa"/>
            <w:tcBorders>
              <w:top w:val="nil"/>
              <w:left w:val="nil"/>
              <w:bottom w:val="nil"/>
              <w:right w:val="nil"/>
            </w:tcBorders>
            <w:shd w:val="clear" w:color="auto" w:fill="FFFFFF" w:themeFill="background1"/>
            <w:vAlign w:val="center"/>
          </w:tcPr>
          <w:p w14:paraId="150B7D3E" w14:textId="6686E20B" w:rsidR="007524D4" w:rsidRPr="005B328A" w:rsidRDefault="007524D4" w:rsidP="005B328A">
            <w:pPr>
              <w:jc w:val="center"/>
              <w:rPr>
                <w:rFonts w:ascii="Palatino Linotype" w:eastAsiaTheme="minorHAnsi" w:hAnsi="Palatino Linotype" w:cs="Palatino Linotype"/>
                <w:b/>
                <w:bCs/>
                <w:color w:val="000000" w:themeColor="text1"/>
                <w:sz w:val="30"/>
                <w:szCs w:val="30"/>
              </w:rPr>
            </w:pPr>
          </w:p>
        </w:tc>
        <w:tc>
          <w:tcPr>
            <w:tcW w:w="8190" w:type="dxa"/>
            <w:tcBorders>
              <w:top w:val="nil"/>
              <w:left w:val="nil"/>
              <w:bottom w:val="nil"/>
              <w:right w:val="nil"/>
            </w:tcBorders>
            <w:shd w:val="clear" w:color="auto" w:fill="FFFFFF" w:themeFill="background1"/>
          </w:tcPr>
          <w:p w14:paraId="2BE0D7C0" w14:textId="77777777" w:rsidR="00F21EE8" w:rsidRDefault="00F21EE8" w:rsidP="00F21EE8"/>
          <w:p w14:paraId="11A96CAC" w14:textId="77777777" w:rsidR="00D87F68" w:rsidRDefault="00F21EE8" w:rsidP="00D87F68">
            <w:pPr>
              <w:pStyle w:val="NormalWeb"/>
              <w:spacing w:before="0" w:beforeAutospacing="0" w:after="240" w:afterAutospacing="0"/>
              <w:ind w:right="-378"/>
              <w:jc w:val="center"/>
              <w:rPr>
                <w:rFonts w:ascii="Georgia" w:hAnsi="Georgia" w:cs="Arial"/>
                <w:b/>
                <w:bCs/>
                <w:color w:val="2F5496" w:themeColor="accent1" w:themeShade="BF"/>
              </w:rPr>
            </w:pPr>
            <w:r w:rsidRPr="00F21EE8">
              <w:rPr>
                <w:rFonts w:ascii="Georgia" w:hAnsi="Georgia" w:cs="Arial"/>
                <w:b/>
                <w:bCs/>
                <w:color w:val="2F5496" w:themeColor="accent1" w:themeShade="BF"/>
                <w:sz w:val="30"/>
                <w:szCs w:val="30"/>
              </w:rPr>
              <w:t>Valerie A. Flores, MD</w:t>
            </w:r>
            <w:r w:rsidRPr="00F21EE8">
              <w:rPr>
                <w:rFonts w:ascii="Georgia" w:hAnsi="Georgia" w:cs="Arial"/>
                <w:b/>
                <w:bCs/>
                <w:color w:val="2F5496" w:themeColor="accent1" w:themeShade="BF"/>
                <w:sz w:val="30"/>
                <w:szCs w:val="30"/>
              </w:rPr>
              <w:br/>
            </w:r>
            <w:r w:rsidRPr="00D87F68">
              <w:rPr>
                <w:rFonts w:ascii="Georgia" w:hAnsi="Georgia" w:cs="Arial"/>
                <w:b/>
                <w:bCs/>
                <w:color w:val="2F5496" w:themeColor="accent1" w:themeShade="BF"/>
              </w:rPr>
              <w:t>Assistant Professor</w:t>
            </w:r>
          </w:p>
          <w:p w14:paraId="74D07575" w14:textId="6309FFDB" w:rsidR="007524D4" w:rsidRPr="00D87F68" w:rsidRDefault="00D87F68" w:rsidP="00D87F68">
            <w:pPr>
              <w:pStyle w:val="NormalWeb"/>
              <w:spacing w:before="0" w:beforeAutospacing="0" w:after="240" w:afterAutospacing="0"/>
              <w:ind w:right="-108"/>
              <w:jc w:val="center"/>
              <w:rPr>
                <w:rFonts w:ascii="Georgia" w:hAnsi="Georgia" w:cs="Arial"/>
                <w:b/>
                <w:bCs/>
                <w:color w:val="2F5496" w:themeColor="accent1" w:themeShade="BF"/>
                <w:sz w:val="4"/>
                <w:szCs w:val="4"/>
              </w:rPr>
            </w:pPr>
            <w:r>
              <w:rPr>
                <w:rFonts w:ascii="Georgia" w:hAnsi="Georgia" w:cs="Arial"/>
                <w:b/>
                <w:bCs/>
                <w:color w:val="2F5496" w:themeColor="accent1" w:themeShade="BF"/>
                <w:sz w:val="30"/>
                <w:szCs w:val="30"/>
              </w:rPr>
              <w:t xml:space="preserve"> </w:t>
            </w:r>
            <w:r w:rsidR="00F21EE8" w:rsidRPr="00D87F68">
              <w:rPr>
                <w:rFonts w:ascii="Georgia" w:hAnsi="Georgia" w:cs="Arial"/>
                <w:b/>
                <w:bCs/>
                <w:color w:val="2F5496" w:themeColor="accent1" w:themeShade="BF"/>
              </w:rPr>
              <w:t>Obstetrics, Gynecology &amp; Reproductive Sciences</w:t>
            </w:r>
            <w:r w:rsidR="00F21EE8">
              <w:rPr>
                <w:rFonts w:ascii="Arial" w:hAnsi="Arial" w:cs="Arial"/>
                <w:color w:val="222222"/>
                <w:sz w:val="19"/>
                <w:szCs w:val="19"/>
              </w:rPr>
              <w:br/>
            </w:r>
            <w:r w:rsidR="00F21EE8" w:rsidRPr="00F21EE8">
              <w:rPr>
                <w:rFonts w:ascii="Georgia" w:hAnsi="Georgia" w:cs="Arial"/>
                <w:b/>
                <w:bCs/>
                <w:i/>
                <w:iCs/>
                <w:color w:val="2F5496" w:themeColor="accent1" w:themeShade="BF"/>
                <w:sz w:val="30"/>
                <w:szCs w:val="30"/>
              </w:rPr>
              <w:t xml:space="preserve">Yale School of Medicine </w:t>
            </w:r>
            <w:r w:rsidR="00F21EE8">
              <w:rPr>
                <w:rFonts w:ascii="Georgia" w:hAnsi="Georgia" w:cs="Arial"/>
                <w:b/>
                <w:bCs/>
                <w:i/>
                <w:iCs/>
                <w:color w:val="2F5496" w:themeColor="accent1" w:themeShade="BF"/>
                <w:sz w:val="30"/>
                <w:szCs w:val="30"/>
              </w:rPr>
              <w:t>-</w:t>
            </w:r>
            <w:r w:rsidR="00F21EE8" w:rsidRPr="00F21EE8">
              <w:rPr>
                <w:rFonts w:ascii="Georgia" w:hAnsi="Georgia" w:cs="Arial"/>
                <w:b/>
                <w:bCs/>
                <w:i/>
                <w:iCs/>
                <w:color w:val="2F5496" w:themeColor="accent1" w:themeShade="BF"/>
                <w:sz w:val="30"/>
                <w:szCs w:val="30"/>
              </w:rPr>
              <w:t>Yale New Haven Hospita</w:t>
            </w:r>
            <w:r>
              <w:rPr>
                <w:rFonts w:ascii="Georgia" w:hAnsi="Georgia" w:cs="Arial"/>
                <w:b/>
                <w:bCs/>
                <w:i/>
                <w:iCs/>
                <w:color w:val="2F5496" w:themeColor="accent1" w:themeShade="BF"/>
                <w:sz w:val="30"/>
                <w:szCs w:val="30"/>
              </w:rPr>
              <w:t>l</w:t>
            </w:r>
          </w:p>
        </w:tc>
        <w:tc>
          <w:tcPr>
            <w:tcW w:w="1530" w:type="dxa"/>
            <w:vMerge w:val="restart"/>
            <w:tcBorders>
              <w:top w:val="nil"/>
              <w:left w:val="nil"/>
              <w:bottom w:val="nil"/>
              <w:right w:val="nil"/>
            </w:tcBorders>
            <w:shd w:val="clear" w:color="auto" w:fill="FFFFFF" w:themeFill="background1"/>
            <w:vAlign w:val="center"/>
          </w:tcPr>
          <w:p w14:paraId="7C3703B5" w14:textId="73157C29" w:rsidR="007524D4" w:rsidRPr="00113542" w:rsidRDefault="007524D4" w:rsidP="002C4A11">
            <w:pPr>
              <w:rPr>
                <w:rFonts w:ascii="Palatino Linotype" w:eastAsia="Cambria" w:hAnsi="Palatino Linotype"/>
                <w:b/>
                <w:bCs/>
                <w:noProof/>
                <w:color w:val="1F3864" w:themeColor="accent1" w:themeShade="80"/>
                <w:sz w:val="30"/>
                <w:szCs w:val="30"/>
              </w:rPr>
            </w:pPr>
          </w:p>
        </w:tc>
      </w:tr>
      <w:tr w:rsidR="001F3884" w14:paraId="1B963717" w14:textId="77777777" w:rsidTr="00F21EE8">
        <w:trPr>
          <w:jc w:val="center"/>
        </w:trPr>
        <w:tc>
          <w:tcPr>
            <w:tcW w:w="1530" w:type="dxa"/>
            <w:tcBorders>
              <w:top w:val="nil"/>
              <w:left w:val="nil"/>
              <w:bottom w:val="nil"/>
              <w:right w:val="nil"/>
            </w:tcBorders>
            <w:shd w:val="clear" w:color="auto" w:fill="FFFFFF" w:themeFill="background1"/>
          </w:tcPr>
          <w:p w14:paraId="344D1BFE" w14:textId="5F9A9F4E" w:rsidR="007524D4" w:rsidRPr="005B328A" w:rsidRDefault="007524D4" w:rsidP="00D87F68">
            <w:pPr>
              <w:kinsoku w:val="0"/>
              <w:overflowPunct w:val="0"/>
              <w:autoSpaceDE w:val="0"/>
              <w:autoSpaceDN w:val="0"/>
              <w:adjustRightInd w:val="0"/>
              <w:spacing w:before="22" w:line="180" w:lineRule="auto"/>
              <w:ind w:right="477"/>
              <w:rPr>
                <w:rFonts w:ascii="Palatino Linotype" w:eastAsiaTheme="minorHAnsi" w:hAnsi="Palatino Linotype" w:cs="Palatino Linotype"/>
                <w:b/>
                <w:bCs/>
                <w:sz w:val="24"/>
                <w:szCs w:val="24"/>
              </w:rPr>
            </w:pPr>
          </w:p>
        </w:tc>
        <w:tc>
          <w:tcPr>
            <w:tcW w:w="8190" w:type="dxa"/>
            <w:tcBorders>
              <w:top w:val="nil"/>
              <w:left w:val="nil"/>
              <w:bottom w:val="nil"/>
              <w:right w:val="nil"/>
            </w:tcBorders>
            <w:shd w:val="clear" w:color="auto" w:fill="auto"/>
          </w:tcPr>
          <w:p w14:paraId="64A9C1CC" w14:textId="684BAFF8" w:rsidR="002C4A11" w:rsidRPr="00113542" w:rsidRDefault="002C4A11" w:rsidP="004921EA">
            <w:pPr>
              <w:kinsoku w:val="0"/>
              <w:overflowPunct w:val="0"/>
              <w:autoSpaceDE w:val="0"/>
              <w:autoSpaceDN w:val="0"/>
              <w:adjustRightInd w:val="0"/>
              <w:spacing w:before="22" w:line="180" w:lineRule="auto"/>
              <w:ind w:left="43" w:right="477"/>
              <w:jc w:val="center"/>
              <w:rPr>
                <w:rFonts w:ascii="Georgia" w:eastAsia="Cambria" w:hAnsi="Georgia"/>
                <w:b/>
                <w:bCs/>
                <w:noProof/>
                <w:color w:val="1F3864" w:themeColor="accent1" w:themeShade="80"/>
                <w:sz w:val="24"/>
                <w:szCs w:val="24"/>
              </w:rPr>
            </w:pPr>
          </w:p>
        </w:tc>
        <w:tc>
          <w:tcPr>
            <w:tcW w:w="1530" w:type="dxa"/>
            <w:vMerge/>
            <w:tcBorders>
              <w:top w:val="single" w:sz="24" w:space="0" w:color="FFC000"/>
              <w:left w:val="nil"/>
              <w:bottom w:val="nil"/>
              <w:right w:val="nil"/>
            </w:tcBorders>
            <w:shd w:val="clear" w:color="auto" w:fill="FFFFFF" w:themeFill="background1"/>
            <w:vAlign w:val="center"/>
          </w:tcPr>
          <w:p w14:paraId="4BAF3522" w14:textId="0D37A2F0" w:rsidR="007524D4" w:rsidRPr="00113542" w:rsidRDefault="007524D4" w:rsidP="00D73D1F">
            <w:pPr>
              <w:jc w:val="center"/>
              <w:rPr>
                <w:rFonts w:ascii="Georgia" w:eastAsia="Cambria" w:hAnsi="Georgia"/>
                <w:b/>
                <w:bCs/>
                <w:noProof/>
                <w:color w:val="1F3864" w:themeColor="accent1" w:themeShade="80"/>
                <w:sz w:val="32"/>
                <w:szCs w:val="32"/>
              </w:rPr>
            </w:pPr>
          </w:p>
        </w:tc>
      </w:tr>
    </w:tbl>
    <w:tbl>
      <w:tblPr>
        <w:tblStyle w:val="ListTable5Dark-Accent51"/>
        <w:tblW w:w="10530" w:type="dxa"/>
        <w:jc w:val="center"/>
        <w:tblBorders>
          <w:top w:val="none" w:sz="0" w:space="0" w:color="auto"/>
          <w:left w:val="none" w:sz="0" w:space="0" w:color="auto"/>
          <w:bottom w:val="single" w:sz="18" w:space="0" w:color="BDD6EE" w:themeColor="accent5" w:themeTint="66"/>
          <w:right w:val="single" w:sz="4" w:space="0" w:color="FFFFFF" w:themeColor="background1"/>
        </w:tblBorders>
        <w:tblLook w:val="04A0" w:firstRow="1" w:lastRow="0" w:firstColumn="1" w:lastColumn="0" w:noHBand="0" w:noVBand="1"/>
      </w:tblPr>
      <w:tblGrid>
        <w:gridCol w:w="5580"/>
        <w:gridCol w:w="4950"/>
      </w:tblGrid>
      <w:tr w:rsidR="00DF1B3C" w14:paraId="445D3C9C" w14:textId="77777777" w:rsidTr="005C5449">
        <w:trPr>
          <w:cnfStyle w:val="100000000000" w:firstRow="1" w:lastRow="0" w:firstColumn="0" w:lastColumn="0" w:oddVBand="0" w:evenVBand="0" w:oddHBand="0" w:evenHBand="0" w:firstRowFirstColumn="0" w:firstRowLastColumn="0" w:lastRowFirstColumn="0" w:lastRowLastColumn="0"/>
          <w:trHeight w:val="1326"/>
          <w:jc w:val="center"/>
        </w:trPr>
        <w:tc>
          <w:tcPr>
            <w:cnfStyle w:val="001000000100" w:firstRow="0" w:lastRow="0" w:firstColumn="1" w:lastColumn="0" w:oddVBand="0" w:evenVBand="0" w:oddHBand="0" w:evenHBand="0" w:firstRowFirstColumn="1" w:firstRowLastColumn="0" w:lastRowFirstColumn="0" w:lastRowLastColumn="0"/>
            <w:tcW w:w="5580" w:type="dxa"/>
            <w:shd w:val="clear" w:color="auto" w:fill="2F5496" w:themeFill="accent1" w:themeFillShade="BF"/>
          </w:tcPr>
          <w:p w14:paraId="05897995" w14:textId="77E52788" w:rsidR="00DF1B3C" w:rsidRPr="001A0AF9" w:rsidRDefault="009134F7" w:rsidP="00696300">
            <w:pPr>
              <w:spacing w:before="120" w:after="120"/>
              <w:ind w:left="216"/>
              <w:jc w:val="center"/>
              <w:rPr>
                <w:rFonts w:ascii="Arial" w:eastAsia="Cambria" w:hAnsi="Arial" w:cs="Arial"/>
                <w:sz w:val="28"/>
                <w:szCs w:val="28"/>
              </w:rPr>
            </w:pPr>
            <w:r>
              <w:rPr>
                <w:rFonts w:ascii="Arial" w:eastAsia="Cambria" w:hAnsi="Arial" w:cs="Arial"/>
                <w:b w:val="0"/>
                <w:bCs w:val="0"/>
                <w:sz w:val="28"/>
                <w:szCs w:val="28"/>
              </w:rPr>
              <w:t xml:space="preserve">June </w:t>
            </w:r>
            <w:r w:rsidR="00D87F68">
              <w:rPr>
                <w:rFonts w:ascii="Arial" w:eastAsia="Cambria" w:hAnsi="Arial" w:cs="Arial"/>
                <w:b w:val="0"/>
                <w:bCs w:val="0"/>
                <w:sz w:val="28"/>
                <w:szCs w:val="28"/>
              </w:rPr>
              <w:t>9</w:t>
            </w:r>
            <w:r w:rsidR="005C5449" w:rsidRPr="001A0AF9">
              <w:rPr>
                <w:rFonts w:ascii="Arial" w:eastAsia="Cambria" w:hAnsi="Arial" w:cs="Arial"/>
                <w:b w:val="0"/>
                <w:bCs w:val="0"/>
                <w:sz w:val="28"/>
                <w:szCs w:val="28"/>
              </w:rPr>
              <w:t>, 2022</w:t>
            </w:r>
          </w:p>
          <w:p w14:paraId="060A02C1" w14:textId="12FB572C" w:rsidR="00DF1B3C" w:rsidRDefault="00DF1B3C" w:rsidP="00696300">
            <w:pPr>
              <w:spacing w:before="120" w:after="120"/>
              <w:ind w:left="216"/>
              <w:jc w:val="center"/>
              <w:rPr>
                <w:rFonts w:ascii="Arial" w:eastAsia="Cambria" w:hAnsi="Arial" w:cs="Arial"/>
                <w:b w:val="0"/>
                <w:bCs w:val="0"/>
                <w:sz w:val="44"/>
                <w:szCs w:val="44"/>
              </w:rPr>
            </w:pPr>
            <w:r w:rsidRPr="001A0AF9">
              <w:rPr>
                <w:rFonts w:ascii="Arial" w:eastAsia="Cambria" w:hAnsi="Arial" w:cs="Arial"/>
                <w:b w:val="0"/>
                <w:bCs w:val="0"/>
                <w:sz w:val="28"/>
                <w:szCs w:val="28"/>
              </w:rPr>
              <w:t>4:00</w:t>
            </w:r>
            <w:r w:rsidR="000F729A" w:rsidRPr="001A0AF9">
              <w:rPr>
                <w:rFonts w:ascii="Arial" w:eastAsia="Cambria" w:hAnsi="Arial" w:cs="Arial"/>
                <w:b w:val="0"/>
                <w:bCs w:val="0"/>
                <w:sz w:val="28"/>
                <w:szCs w:val="28"/>
              </w:rPr>
              <w:t xml:space="preserve"> </w:t>
            </w:r>
            <w:r w:rsidRPr="001A0AF9">
              <w:rPr>
                <w:rFonts w:ascii="Arial" w:eastAsia="Cambria" w:hAnsi="Arial" w:cs="Arial"/>
                <w:b w:val="0"/>
                <w:bCs w:val="0"/>
                <w:sz w:val="28"/>
                <w:szCs w:val="28"/>
              </w:rPr>
              <w:t>-</w:t>
            </w:r>
            <w:r w:rsidR="000F729A" w:rsidRPr="001A0AF9">
              <w:rPr>
                <w:rFonts w:ascii="Arial" w:eastAsia="Cambria" w:hAnsi="Arial" w:cs="Arial"/>
                <w:b w:val="0"/>
                <w:bCs w:val="0"/>
                <w:sz w:val="28"/>
                <w:szCs w:val="28"/>
              </w:rPr>
              <w:t xml:space="preserve"> </w:t>
            </w:r>
            <w:r w:rsidRPr="001A0AF9">
              <w:rPr>
                <w:rFonts w:ascii="Arial" w:eastAsia="Cambria" w:hAnsi="Arial" w:cs="Arial"/>
                <w:b w:val="0"/>
                <w:bCs w:val="0"/>
                <w:sz w:val="28"/>
                <w:szCs w:val="28"/>
              </w:rPr>
              <w:t>5:00</w:t>
            </w:r>
            <w:r w:rsidR="002C34B0" w:rsidRPr="001A0AF9">
              <w:rPr>
                <w:rFonts w:ascii="Arial" w:eastAsia="Cambria" w:hAnsi="Arial" w:cs="Arial"/>
                <w:b w:val="0"/>
                <w:bCs w:val="0"/>
                <w:sz w:val="28"/>
                <w:szCs w:val="28"/>
              </w:rPr>
              <w:t xml:space="preserve"> pm</w:t>
            </w:r>
            <w:r w:rsidRPr="001A0AF9">
              <w:rPr>
                <w:rFonts w:ascii="Arial" w:eastAsia="Cambria" w:hAnsi="Arial" w:cs="Arial"/>
                <w:b w:val="0"/>
                <w:bCs w:val="0"/>
                <w:sz w:val="28"/>
                <w:szCs w:val="28"/>
              </w:rPr>
              <w:t xml:space="preserve"> ▪ Virtual</w:t>
            </w:r>
          </w:p>
        </w:tc>
        <w:tc>
          <w:tcPr>
            <w:tcW w:w="4950" w:type="dxa"/>
            <w:shd w:val="clear" w:color="auto" w:fill="B4C6E7" w:themeFill="accent1" w:themeFillTint="66"/>
          </w:tcPr>
          <w:p w14:paraId="2FC2B1EF" w14:textId="77777777" w:rsidR="00490AEB" w:rsidRDefault="00490AEB" w:rsidP="00490AEB">
            <w:pPr>
              <w:cnfStyle w:val="100000000000" w:firstRow="1" w:lastRow="0" w:firstColumn="0" w:lastColumn="0" w:oddVBand="0" w:evenVBand="0" w:oddHBand="0" w:evenHBand="0" w:firstRowFirstColumn="0" w:firstRowLastColumn="0" w:lastRowFirstColumn="0" w:lastRowLastColumn="0"/>
              <w:rPr>
                <w:b w:val="0"/>
                <w:bCs w:val="0"/>
              </w:rPr>
            </w:pPr>
          </w:p>
          <w:p w14:paraId="49184D60" w14:textId="6F2B4752" w:rsidR="00DF1B3C" w:rsidRPr="00490AEB" w:rsidRDefault="005A5580" w:rsidP="00490AEB">
            <w:pPr>
              <w:jc w:val="center"/>
              <w:cnfStyle w:val="100000000000" w:firstRow="1" w:lastRow="0" w:firstColumn="0" w:lastColumn="0" w:oddVBand="0" w:evenVBand="0" w:oddHBand="0" w:evenHBand="0" w:firstRowFirstColumn="0" w:firstRowLastColumn="0" w:lastRowFirstColumn="0" w:lastRowLastColumn="0"/>
            </w:pPr>
            <w:hyperlink r:id="rId9" w:history="1">
              <w:r w:rsidR="00BA49B3" w:rsidRPr="00BA49B3">
                <w:rPr>
                  <w:rStyle w:val="Hyperlink"/>
                  <w:rFonts w:ascii="Helvetica Neue" w:hAnsi="Helvetica Neue"/>
                  <w:color w:val="2F5496" w:themeColor="accent1" w:themeShade="BF"/>
                  <w:sz w:val="21"/>
                  <w:szCs w:val="21"/>
                </w:rPr>
                <w:t>https://zoom.us/j/94267432468</w:t>
              </w:r>
            </w:hyperlink>
            <w:r w:rsidR="00BA49B3" w:rsidRPr="00BA49B3">
              <w:rPr>
                <w:rFonts w:ascii="Helvetica Neue" w:hAnsi="Helvetica Neue"/>
                <w:color w:val="2F5496" w:themeColor="accent1" w:themeShade="BF"/>
                <w:sz w:val="21"/>
                <w:szCs w:val="21"/>
              </w:rPr>
              <w:br/>
              <w:t>US: +12034329666</w:t>
            </w:r>
            <w:r w:rsidR="00BA49B3" w:rsidRPr="00BA49B3">
              <w:rPr>
                <w:rFonts w:ascii="Helvetica Neue" w:hAnsi="Helvetica Neue"/>
                <w:color w:val="2F5496" w:themeColor="accent1" w:themeShade="BF"/>
                <w:sz w:val="21"/>
                <w:szCs w:val="21"/>
              </w:rPr>
              <w:br/>
              <w:t>Webinar ID: 942 6743 2468</w:t>
            </w:r>
            <w:r w:rsidR="00BA49B3">
              <w:rPr>
                <w:rFonts w:ascii="Helvetica Neue" w:hAnsi="Helvetica Neue"/>
                <w:sz w:val="21"/>
                <w:szCs w:val="21"/>
              </w:rPr>
              <w:br/>
            </w:r>
          </w:p>
        </w:tc>
      </w:tr>
      <w:tr w:rsidR="00DF1B3C" w14:paraId="2CF70476" w14:textId="77777777" w:rsidTr="005C5449">
        <w:trPr>
          <w:cnfStyle w:val="000000100000" w:firstRow="0" w:lastRow="0" w:firstColumn="0" w:lastColumn="0" w:oddVBand="0" w:evenVBand="0" w:oddHBand="1" w:evenHBand="0" w:firstRowFirstColumn="0" w:firstRowLastColumn="0" w:lastRowFirstColumn="0" w:lastRowLastColumn="0"/>
          <w:trHeight w:val="1575"/>
          <w:jc w:val="center"/>
        </w:trPr>
        <w:tc>
          <w:tcPr>
            <w:cnfStyle w:val="001000000000" w:firstRow="0" w:lastRow="0" w:firstColumn="1" w:lastColumn="0" w:oddVBand="0" w:evenVBand="0" w:oddHBand="0" w:evenHBand="0" w:firstRowFirstColumn="0" w:firstRowLastColumn="0" w:lastRowFirstColumn="0" w:lastRowLastColumn="0"/>
            <w:tcW w:w="5580" w:type="dxa"/>
            <w:tcBorders>
              <w:bottom w:val="nil"/>
              <w:right w:val="single" w:sz="12" w:space="0" w:color="00B0F0"/>
            </w:tcBorders>
            <w:vAlign w:val="center"/>
          </w:tcPr>
          <w:p w14:paraId="47EAF341" w14:textId="41122C0C" w:rsidR="00DF1B3C" w:rsidRPr="00D87F68" w:rsidRDefault="00DF1B3C" w:rsidP="00696300">
            <w:pPr>
              <w:rPr>
                <w:rFonts w:ascii="Arial" w:eastAsia="Cambria" w:hAnsi="Arial" w:cs="Arial"/>
                <w:b w:val="0"/>
                <w:bCs w:val="0"/>
                <w:sz w:val="18"/>
                <w:szCs w:val="18"/>
              </w:rPr>
            </w:pPr>
            <w:r w:rsidRPr="00D87F68">
              <w:rPr>
                <w:rFonts w:ascii="Arial" w:eastAsia="Cambria" w:hAnsi="Arial" w:cs="Arial"/>
                <w:sz w:val="18"/>
                <w:szCs w:val="18"/>
              </w:rPr>
              <w:t>Needs:</w:t>
            </w:r>
          </w:p>
          <w:p w14:paraId="7130929C" w14:textId="6F756B19" w:rsidR="008554FA" w:rsidRPr="00D87F68" w:rsidRDefault="008554FA" w:rsidP="00696300">
            <w:pPr>
              <w:rPr>
                <w:rFonts w:ascii="Arial" w:eastAsia="Cambria" w:hAnsi="Arial" w:cs="Arial"/>
                <w:b w:val="0"/>
                <w:bCs w:val="0"/>
                <w:sz w:val="18"/>
                <w:szCs w:val="18"/>
              </w:rPr>
            </w:pPr>
          </w:p>
          <w:p w14:paraId="40259005" w14:textId="77777777" w:rsidR="00D87F68" w:rsidRPr="00D87F68" w:rsidRDefault="00D87F68" w:rsidP="00D87F68">
            <w:pPr>
              <w:pStyle w:val="NormalWeb"/>
              <w:spacing w:before="0" w:beforeAutospacing="0" w:after="0" w:afterAutospacing="0"/>
              <w:rPr>
                <w:sz w:val="18"/>
                <w:szCs w:val="18"/>
              </w:rPr>
            </w:pPr>
            <w:r w:rsidRPr="00D87F68">
              <w:rPr>
                <w:sz w:val="18"/>
                <w:szCs w:val="18"/>
              </w:rPr>
              <w:t xml:space="preserve">Endometriosis is unfortunately associated with a </w:t>
            </w:r>
            <w:proofErr w:type="gramStart"/>
            <w:r w:rsidRPr="00D87F68">
              <w:rPr>
                <w:sz w:val="18"/>
                <w:szCs w:val="18"/>
              </w:rPr>
              <w:t>6-11 year</w:t>
            </w:r>
            <w:proofErr w:type="gramEnd"/>
            <w:r w:rsidRPr="00D87F68">
              <w:rPr>
                <w:sz w:val="18"/>
                <w:szCs w:val="18"/>
              </w:rPr>
              <w:t xml:space="preserve"> diagnostic delay, and the existing treatment algorithm does not consistently consider the heterogeneity of the disease. A better understanding of endometriosis as a systemic disease with multifactorial effects throughout the body as well as the mechanisms of progesterone resistance will hopefully help avoid the long diagnostic delay and the delay in determining the ideal treatment option for a given patient.</w:t>
            </w:r>
          </w:p>
          <w:p w14:paraId="1B82E280" w14:textId="1127D510" w:rsidR="00501CE5" w:rsidRPr="00D87F68" w:rsidRDefault="00501CE5" w:rsidP="008554FA">
            <w:pPr>
              <w:rPr>
                <w:rFonts w:ascii="Arial" w:eastAsia="Cambria" w:hAnsi="Arial"/>
                <w:b w:val="0"/>
                <w:bCs w:val="0"/>
                <w:sz w:val="18"/>
                <w:szCs w:val="18"/>
              </w:rPr>
            </w:pPr>
          </w:p>
        </w:tc>
        <w:tc>
          <w:tcPr>
            <w:tcW w:w="4950" w:type="dxa"/>
            <w:tcBorders>
              <w:left w:val="single" w:sz="12" w:space="0" w:color="00B0F0"/>
              <w:bottom w:val="nil"/>
            </w:tcBorders>
            <w:shd w:val="clear" w:color="auto" w:fill="D5DCE4" w:themeFill="text2" w:themeFillTint="33"/>
            <w:vAlign w:val="center"/>
          </w:tcPr>
          <w:p w14:paraId="073812D5" w14:textId="77777777" w:rsidR="00DF1B3C" w:rsidRPr="004921EA" w:rsidRDefault="00DF1B3C" w:rsidP="00696300">
            <w:pPr>
              <w:cnfStyle w:val="000000100000" w:firstRow="0" w:lastRow="0" w:firstColumn="0" w:lastColumn="0" w:oddVBand="0" w:evenVBand="0" w:oddHBand="1" w:evenHBand="0" w:firstRowFirstColumn="0" w:firstRowLastColumn="0" w:lastRowFirstColumn="0" w:lastRowLastColumn="0"/>
              <w:rPr>
                <w:rFonts w:ascii="Arial" w:eastAsia="Cambria" w:hAnsi="Arial" w:cs="Arial"/>
                <w:b/>
                <w:bCs/>
                <w:color w:val="000000" w:themeColor="text1"/>
                <w:sz w:val="22"/>
                <w:szCs w:val="22"/>
              </w:rPr>
            </w:pPr>
            <w:r w:rsidRPr="004921EA">
              <w:rPr>
                <w:rFonts w:ascii="Arial" w:eastAsia="Cambria" w:hAnsi="Arial" w:cs="Arial"/>
                <w:b/>
                <w:bCs/>
                <w:color w:val="000000" w:themeColor="text1"/>
                <w:sz w:val="22"/>
                <w:szCs w:val="22"/>
              </w:rPr>
              <w:t xml:space="preserve">Program Goals: </w:t>
            </w:r>
          </w:p>
          <w:p w14:paraId="70B439F3" w14:textId="77777777" w:rsidR="00D87F68" w:rsidRPr="000C6847" w:rsidRDefault="00D87F68" w:rsidP="005123DB">
            <w:pPr>
              <w:pStyle w:val="NormalWeb"/>
              <w:numPr>
                <w:ilvl w:val="0"/>
                <w:numId w:val="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rPr>
            </w:pPr>
            <w:r w:rsidRPr="000C6847">
              <w:rPr>
                <w:color w:val="000000" w:themeColor="text1"/>
              </w:rPr>
              <w:t>Understand that endometriosis is a chronic systemic disease</w:t>
            </w:r>
          </w:p>
          <w:p w14:paraId="0306CBC0" w14:textId="77777777" w:rsidR="000C6847" w:rsidRPr="000C6847" w:rsidRDefault="00D87F68" w:rsidP="000C6847">
            <w:pPr>
              <w:pStyle w:val="NormalWeb"/>
              <w:numPr>
                <w:ilvl w:val="0"/>
                <w:numId w:val="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rPr>
            </w:pPr>
            <w:r w:rsidRPr="000C6847">
              <w:rPr>
                <w:color w:val="000000" w:themeColor="text1"/>
              </w:rPr>
              <w:t>Understand the mechanisms of progesterone resistance</w:t>
            </w:r>
          </w:p>
          <w:p w14:paraId="21A0B2C5" w14:textId="4F4AC8D1" w:rsidR="00DF1B3C" w:rsidRPr="00D87F68" w:rsidRDefault="00D87F68" w:rsidP="000C6847">
            <w:pPr>
              <w:pStyle w:val="NormalWeb"/>
              <w:numPr>
                <w:ilvl w:val="0"/>
                <w:numId w:val="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0C6847">
              <w:rPr>
                <w:color w:val="000000" w:themeColor="text1"/>
              </w:rPr>
              <w:t>Understand the treatment landscape for endometriosis</w:t>
            </w:r>
          </w:p>
        </w:tc>
      </w:tr>
      <w:tr w:rsidR="00DF1B3C" w14:paraId="242D6AC0" w14:textId="77777777" w:rsidTr="00FA6AEF">
        <w:trPr>
          <w:trHeight w:val="432"/>
          <w:jc w:val="center"/>
        </w:trPr>
        <w:tc>
          <w:tcPr>
            <w:cnfStyle w:val="001000000000" w:firstRow="0" w:lastRow="0" w:firstColumn="1" w:lastColumn="0" w:oddVBand="0" w:evenVBand="0" w:oddHBand="0" w:evenHBand="0" w:firstRowFirstColumn="0" w:firstRowLastColumn="0" w:lastRowFirstColumn="0" w:lastRowLastColumn="0"/>
            <w:tcW w:w="10530" w:type="dxa"/>
            <w:gridSpan w:val="2"/>
            <w:tcBorders>
              <w:top w:val="nil"/>
              <w:right w:val="none" w:sz="0" w:space="0" w:color="auto"/>
            </w:tcBorders>
            <w:shd w:val="clear" w:color="auto" w:fill="2F5496" w:themeFill="accent1" w:themeFillShade="BF"/>
            <w:vAlign w:val="center"/>
          </w:tcPr>
          <w:p w14:paraId="1B72F4FE" w14:textId="77777777" w:rsidR="00DF1B3C" w:rsidRPr="00F816A8" w:rsidRDefault="00DF1B3C" w:rsidP="00696300">
            <w:pPr>
              <w:spacing w:before="120" w:after="200"/>
              <w:rPr>
                <w:rFonts w:ascii="Arial" w:eastAsia="Cambria" w:hAnsi="Arial" w:cs="Arial"/>
              </w:rPr>
            </w:pPr>
            <w:r w:rsidRPr="00F816A8">
              <w:rPr>
                <w:rFonts w:ascii="Arial" w:eastAsia="Cambria" w:hAnsi="Arial" w:cs="Arial"/>
              </w:rPr>
              <w:t xml:space="preserve">Target Audience: </w:t>
            </w:r>
            <w:r w:rsidRPr="00F816A8">
              <w:rPr>
                <w:rFonts w:ascii="Arial" w:eastAsia="Cambria" w:hAnsi="Arial" w:cs="Arial"/>
                <w:noProof/>
              </w:rPr>
              <w:t>Ob/Gyn</w:t>
            </w:r>
          </w:p>
        </w:tc>
      </w:tr>
    </w:tbl>
    <w:p w14:paraId="6ED67863" w14:textId="77777777" w:rsidR="00D76521" w:rsidRPr="00D76521" w:rsidRDefault="00C87128" w:rsidP="00AC5C2E">
      <w:pPr>
        <w:ind w:left="-540" w:right="-720"/>
        <w:rPr>
          <w:rFonts w:ascii="Arial" w:eastAsia="Cambria" w:hAnsi="Arial" w:cs="Arial"/>
          <w:i/>
          <w:sz w:val="12"/>
          <w:szCs w:val="12"/>
        </w:rPr>
      </w:pPr>
      <w:r>
        <w:rPr>
          <w:rFonts w:ascii="Arial" w:eastAsia="Cambria" w:hAnsi="Arial" w:cs="Arial"/>
          <w:i/>
          <w:sz w:val="16"/>
          <w:szCs w:val="16"/>
        </w:rPr>
        <w:t>Financial Disclosure Information:</w:t>
      </w:r>
    </w:p>
    <w:p w14:paraId="60BC6297" w14:textId="45BC21B1" w:rsidR="00F5464B" w:rsidRDefault="0023385F" w:rsidP="00AC5C2E">
      <w:pPr>
        <w:ind w:left="-540" w:right="-720"/>
        <w:rPr>
          <w:sz w:val="16"/>
          <w:szCs w:val="16"/>
        </w:rPr>
      </w:pPr>
      <w:r w:rsidRPr="0023385F">
        <w:rPr>
          <w:color w:val="2F5496" w:themeColor="accent1" w:themeShade="BF"/>
          <w:sz w:val="16"/>
          <w:szCs w:val="16"/>
        </w:rPr>
        <w:t>Valerie A. Flores, MD</w:t>
      </w:r>
      <w:r w:rsidR="00CA591D" w:rsidRPr="004F1811">
        <w:rPr>
          <w:sz w:val="16"/>
          <w:szCs w:val="16"/>
        </w:rPr>
        <w:t>,</w:t>
      </w:r>
      <w:r w:rsidR="00CA591D">
        <w:rPr>
          <w:sz w:val="16"/>
          <w:szCs w:val="16"/>
        </w:rPr>
        <w:t xml:space="preserve"> </w:t>
      </w:r>
      <w:r w:rsidR="00C87128">
        <w:rPr>
          <w:sz w:val="16"/>
          <w:szCs w:val="16"/>
        </w:rPr>
        <w:t xml:space="preserve">faculty for this educational activity, </w:t>
      </w:r>
      <w:r w:rsidR="00CA591D">
        <w:rPr>
          <w:sz w:val="16"/>
          <w:szCs w:val="16"/>
        </w:rPr>
        <w:t>has no relevant financial relationship(s) with ineligible companies to disclose.</w:t>
      </w:r>
    </w:p>
    <w:p w14:paraId="1A4FDA0E" w14:textId="77777777" w:rsidR="00CA591D" w:rsidRPr="00FA6AEF" w:rsidRDefault="00CA591D" w:rsidP="00AC5C2E">
      <w:pPr>
        <w:ind w:left="-540" w:right="-720"/>
        <w:rPr>
          <w:rFonts w:eastAsia="Cambria"/>
          <w:i/>
          <w:sz w:val="16"/>
          <w:szCs w:val="16"/>
        </w:rPr>
      </w:pPr>
    </w:p>
    <w:p w14:paraId="3FD37C3B" w14:textId="77777777" w:rsidR="00C87128" w:rsidRPr="00512139" w:rsidRDefault="00C87128" w:rsidP="00CF44F1">
      <w:pPr>
        <w:ind w:left="-540" w:right="-720"/>
        <w:rPr>
          <w:rFonts w:ascii="Arial" w:eastAsia="Cambria" w:hAnsi="Arial" w:cs="Arial"/>
          <w:i/>
          <w:sz w:val="16"/>
          <w:szCs w:val="16"/>
        </w:rPr>
      </w:pPr>
      <w:r w:rsidRPr="00512139">
        <w:rPr>
          <w:rFonts w:ascii="Arial" w:eastAsia="Cambria" w:hAnsi="Arial" w:cs="Arial"/>
          <w:i/>
          <w:sz w:val="16"/>
          <w:szCs w:val="16"/>
        </w:rPr>
        <w:t>Accreditation Statement: Yale School of Medicine is accredited by the Accreditation Council for Continuing Medical Education (ACCME) to provide continuing medical education for physicians.</w:t>
      </w:r>
    </w:p>
    <w:p w14:paraId="2F51CA16" w14:textId="280F3746" w:rsidR="00C87128" w:rsidRDefault="00C87128" w:rsidP="00CF44F1">
      <w:pPr>
        <w:ind w:left="-540" w:right="-720"/>
        <w:rPr>
          <w:rFonts w:ascii="Arial" w:eastAsia="Cambria" w:hAnsi="Arial" w:cs="Arial"/>
          <w:i/>
          <w:sz w:val="16"/>
          <w:szCs w:val="16"/>
        </w:rPr>
      </w:pPr>
      <w:r w:rsidRPr="00512139">
        <w:rPr>
          <w:rFonts w:ascii="Arial" w:eastAsia="Cambria" w:hAnsi="Arial" w:cs="Arial"/>
          <w:i/>
          <w:sz w:val="16"/>
          <w:szCs w:val="16"/>
        </w:rPr>
        <w:t xml:space="preserve">Designation Statement: Yale School of Medicine designates this </w:t>
      </w:r>
      <w:r>
        <w:rPr>
          <w:rFonts w:ascii="Arial" w:eastAsia="Cambria" w:hAnsi="Arial" w:cs="Arial"/>
          <w:i/>
          <w:noProof/>
          <w:sz w:val="16"/>
          <w:szCs w:val="16"/>
        </w:rPr>
        <w:t>Live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1.00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Physicians should only claim credit commensurate with the extent of their participation in the activity.</w:t>
      </w:r>
    </w:p>
    <w:p w14:paraId="6AC8368B" w14:textId="77777777" w:rsidR="00AC5C2E" w:rsidRPr="00FA6AEF" w:rsidRDefault="00AC5C2E" w:rsidP="00CF44F1">
      <w:pPr>
        <w:ind w:left="-540" w:right="-720"/>
        <w:rPr>
          <w:rFonts w:ascii="Arial" w:eastAsia="Cambria" w:hAnsi="Arial" w:cs="Arial"/>
          <w:i/>
          <w:sz w:val="16"/>
          <w:szCs w:val="16"/>
        </w:rPr>
      </w:pPr>
    </w:p>
    <w:p w14:paraId="49626ACE" w14:textId="1C9AA88B" w:rsidR="008554FA" w:rsidRPr="004921EA" w:rsidRDefault="00C87128" w:rsidP="004921EA">
      <w:pPr>
        <w:ind w:left="-540" w:right="-720"/>
        <w:rPr>
          <w:rFonts w:ascii="Arial" w:eastAsia="Cambria" w:hAnsi="Arial" w:cs="Arial"/>
          <w:b/>
          <w:bCs/>
          <w:noProof/>
          <w:sz w:val="16"/>
          <w:szCs w:val="16"/>
        </w:rPr>
      </w:pPr>
      <w:r w:rsidRPr="00FA6AEF">
        <w:rPr>
          <w:rFonts w:ascii="Arial" w:eastAsia="Cambria" w:hAnsi="Arial" w:cs="Arial"/>
          <w:b/>
          <w:bCs/>
          <w:sz w:val="16"/>
          <w:szCs w:val="16"/>
        </w:rPr>
        <w:t>For questions, email</w:t>
      </w:r>
      <w:r w:rsidR="00FB1E9B">
        <w:rPr>
          <w:rFonts w:ascii="Arial" w:eastAsia="Cambria" w:hAnsi="Arial" w:cs="Arial"/>
          <w:b/>
          <w:bCs/>
          <w:sz w:val="16"/>
          <w:szCs w:val="16"/>
        </w:rPr>
        <w:t xml:space="preserve">: </w:t>
      </w:r>
      <w:r w:rsidRPr="00FA6AEF">
        <w:rPr>
          <w:rFonts w:ascii="Arial" w:eastAsia="Cambria" w:hAnsi="Arial" w:cs="Arial"/>
          <w:b/>
          <w:bCs/>
          <w:sz w:val="16"/>
          <w:szCs w:val="16"/>
        </w:rPr>
        <w:t xml:space="preserve"> </w:t>
      </w:r>
      <w:r w:rsidR="005C5449">
        <w:rPr>
          <w:rFonts w:ascii="Arial" w:eastAsia="Cambria" w:hAnsi="Arial" w:cs="Arial"/>
          <w:b/>
          <w:bCs/>
          <w:sz w:val="16"/>
          <w:szCs w:val="16"/>
        </w:rPr>
        <w:t>wendy.wojczak@yale.edu</w:t>
      </w:r>
      <w:r w:rsidR="00FB1E9B">
        <w:rPr>
          <w:rFonts w:ascii="Arial" w:eastAsia="Cambria" w:hAnsi="Arial" w:cs="Arial"/>
          <w:b/>
          <w:bCs/>
          <w:noProof/>
          <w:sz w:val="16"/>
          <w:szCs w:val="16"/>
        </w:rPr>
        <w:t xml:space="preserve"> </w:t>
      </w:r>
    </w:p>
    <w:sectPr w:rsidR="008554FA" w:rsidRPr="004921EA" w:rsidSect="005035C1">
      <w:headerReference w:type="default" r:id="rId10"/>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F8F4" w14:textId="77777777" w:rsidR="006F4901" w:rsidRDefault="006F4901">
      <w:r>
        <w:separator/>
      </w:r>
    </w:p>
  </w:endnote>
  <w:endnote w:type="continuationSeparator" w:id="0">
    <w:p w14:paraId="0FD7435B" w14:textId="77777777" w:rsidR="006F4901" w:rsidRDefault="006F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Neue">
    <w:altName w:val="Arial"/>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2B9F" w14:textId="77777777" w:rsidR="006F4901" w:rsidRDefault="006F4901">
      <w:r>
        <w:separator/>
      </w:r>
    </w:p>
  </w:footnote>
  <w:footnote w:type="continuationSeparator" w:id="0">
    <w:p w14:paraId="78AD0FB2" w14:textId="77777777" w:rsidR="006F4901" w:rsidRDefault="006F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07AA" w14:textId="528753A6" w:rsidR="00525504" w:rsidRDefault="00D66C4B" w:rsidP="00024E40">
    <w:pPr>
      <w:pStyle w:val="Header"/>
      <w:tabs>
        <w:tab w:val="clear" w:pos="4680"/>
        <w:tab w:val="clear" w:pos="9360"/>
        <w:tab w:val="left" w:pos="8361"/>
      </w:tabs>
    </w:pPr>
    <w:r>
      <w:rPr>
        <w:noProof/>
      </w:rPr>
      <w:drawing>
        <wp:anchor distT="0" distB="0" distL="114300" distR="114300" simplePos="0" relativeHeight="251658240" behindDoc="1" locked="1" layoutInCell="1" allowOverlap="1" wp14:anchorId="354A023F" wp14:editId="7344EBEC">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DA9"/>
    <w:multiLevelType w:val="hybridMultilevel"/>
    <w:tmpl w:val="F63C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40FE2"/>
    <w:multiLevelType w:val="hybridMultilevel"/>
    <w:tmpl w:val="F10E308E"/>
    <w:lvl w:ilvl="0" w:tplc="FC8C4A5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3A0473AD"/>
    <w:multiLevelType w:val="hybridMultilevel"/>
    <w:tmpl w:val="46384220"/>
    <w:lvl w:ilvl="0" w:tplc="5FB402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610512">
    <w:abstractNumId w:val="1"/>
  </w:num>
  <w:num w:numId="2" w16cid:durableId="818037032">
    <w:abstractNumId w:val="0"/>
  </w:num>
  <w:num w:numId="3" w16cid:durableId="679967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92"/>
    <w:rsid w:val="00024E40"/>
    <w:rsid w:val="00065155"/>
    <w:rsid w:val="000A5500"/>
    <w:rsid w:val="000C6847"/>
    <w:rsid w:val="000F729A"/>
    <w:rsid w:val="00113542"/>
    <w:rsid w:val="00191995"/>
    <w:rsid w:val="001A0AF9"/>
    <w:rsid w:val="001A1303"/>
    <w:rsid w:val="001E1393"/>
    <w:rsid w:val="001F3884"/>
    <w:rsid w:val="0023385F"/>
    <w:rsid w:val="00235EAA"/>
    <w:rsid w:val="0024683F"/>
    <w:rsid w:val="00283A77"/>
    <w:rsid w:val="002C0B08"/>
    <w:rsid w:val="002C34B0"/>
    <w:rsid w:val="002C4A11"/>
    <w:rsid w:val="00305F03"/>
    <w:rsid w:val="003343DF"/>
    <w:rsid w:val="00347136"/>
    <w:rsid w:val="00380449"/>
    <w:rsid w:val="003D2B07"/>
    <w:rsid w:val="003D4B5E"/>
    <w:rsid w:val="003E0EA6"/>
    <w:rsid w:val="00405E60"/>
    <w:rsid w:val="004373A0"/>
    <w:rsid w:val="00451E2F"/>
    <w:rsid w:val="00467303"/>
    <w:rsid w:val="00475E1A"/>
    <w:rsid w:val="00490AEB"/>
    <w:rsid w:val="004921EA"/>
    <w:rsid w:val="004D209A"/>
    <w:rsid w:val="004E7AC1"/>
    <w:rsid w:val="004F1811"/>
    <w:rsid w:val="00501CE5"/>
    <w:rsid w:val="005035C1"/>
    <w:rsid w:val="00517FC3"/>
    <w:rsid w:val="005350BB"/>
    <w:rsid w:val="00541B90"/>
    <w:rsid w:val="00555EF0"/>
    <w:rsid w:val="0058272A"/>
    <w:rsid w:val="005A5580"/>
    <w:rsid w:val="005B328A"/>
    <w:rsid w:val="005C5449"/>
    <w:rsid w:val="005F06E1"/>
    <w:rsid w:val="00600E63"/>
    <w:rsid w:val="00620B49"/>
    <w:rsid w:val="006B30DD"/>
    <w:rsid w:val="006F4901"/>
    <w:rsid w:val="007524D4"/>
    <w:rsid w:val="00763872"/>
    <w:rsid w:val="00793720"/>
    <w:rsid w:val="00800E1D"/>
    <w:rsid w:val="00821B1E"/>
    <w:rsid w:val="00823538"/>
    <w:rsid w:val="00824E43"/>
    <w:rsid w:val="00841998"/>
    <w:rsid w:val="00846F47"/>
    <w:rsid w:val="008554FA"/>
    <w:rsid w:val="008B2F61"/>
    <w:rsid w:val="008B60EE"/>
    <w:rsid w:val="008D1146"/>
    <w:rsid w:val="008D3D02"/>
    <w:rsid w:val="008F60E6"/>
    <w:rsid w:val="009001A9"/>
    <w:rsid w:val="009134F7"/>
    <w:rsid w:val="00922548"/>
    <w:rsid w:val="009229DD"/>
    <w:rsid w:val="00931292"/>
    <w:rsid w:val="009353A0"/>
    <w:rsid w:val="009466EE"/>
    <w:rsid w:val="00991ED5"/>
    <w:rsid w:val="009B1F44"/>
    <w:rsid w:val="009B743F"/>
    <w:rsid w:val="009C3BA0"/>
    <w:rsid w:val="00A410C5"/>
    <w:rsid w:val="00A7732C"/>
    <w:rsid w:val="00A8547D"/>
    <w:rsid w:val="00AB3712"/>
    <w:rsid w:val="00AC0185"/>
    <w:rsid w:val="00AC5C2E"/>
    <w:rsid w:val="00AC68CB"/>
    <w:rsid w:val="00AD1B63"/>
    <w:rsid w:val="00AE2EC5"/>
    <w:rsid w:val="00AF3CBA"/>
    <w:rsid w:val="00B23A71"/>
    <w:rsid w:val="00B23FD8"/>
    <w:rsid w:val="00BA49B3"/>
    <w:rsid w:val="00BA67DD"/>
    <w:rsid w:val="00BD7266"/>
    <w:rsid w:val="00C87128"/>
    <w:rsid w:val="00CA591D"/>
    <w:rsid w:val="00CB629F"/>
    <w:rsid w:val="00CF0821"/>
    <w:rsid w:val="00CF44F1"/>
    <w:rsid w:val="00D27DB7"/>
    <w:rsid w:val="00D36EFD"/>
    <w:rsid w:val="00D63FF7"/>
    <w:rsid w:val="00D65FEF"/>
    <w:rsid w:val="00D66C4B"/>
    <w:rsid w:val="00D70669"/>
    <w:rsid w:val="00D76521"/>
    <w:rsid w:val="00D84695"/>
    <w:rsid w:val="00D87F68"/>
    <w:rsid w:val="00DD07AB"/>
    <w:rsid w:val="00DE76E9"/>
    <w:rsid w:val="00DF1B3C"/>
    <w:rsid w:val="00E01DCC"/>
    <w:rsid w:val="00E421F0"/>
    <w:rsid w:val="00E65E0B"/>
    <w:rsid w:val="00EA71CA"/>
    <w:rsid w:val="00EB41E6"/>
    <w:rsid w:val="00EC67C9"/>
    <w:rsid w:val="00ED63BE"/>
    <w:rsid w:val="00EE15ED"/>
    <w:rsid w:val="00EF3297"/>
    <w:rsid w:val="00F024D3"/>
    <w:rsid w:val="00F21EE8"/>
    <w:rsid w:val="00F422AC"/>
    <w:rsid w:val="00F42CD7"/>
    <w:rsid w:val="00F5464B"/>
    <w:rsid w:val="00F816A8"/>
    <w:rsid w:val="00F81FC1"/>
    <w:rsid w:val="00FA5C17"/>
    <w:rsid w:val="00FA6AEF"/>
    <w:rsid w:val="00FB1E9B"/>
    <w:rsid w:val="00FE6431"/>
    <w:rsid w:val="00FE7F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DAB2D"/>
  <w15:docId w15:val="{5B7B8232-B450-4AEB-8367-2AFFAEA9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343DF"/>
    <w:rPr>
      <w:color w:val="0563C1"/>
      <w:u w:val="single"/>
    </w:rPr>
  </w:style>
  <w:style w:type="character" w:styleId="UnresolvedMention">
    <w:name w:val="Unresolved Mention"/>
    <w:basedOn w:val="DefaultParagraphFont"/>
    <w:uiPriority w:val="99"/>
    <w:rsid w:val="00490AEB"/>
    <w:rPr>
      <w:color w:val="605E5C"/>
      <w:shd w:val="clear" w:color="auto" w:fill="E1DFDD"/>
    </w:rPr>
  </w:style>
  <w:style w:type="paragraph" w:styleId="ListParagraph">
    <w:name w:val="List Paragraph"/>
    <w:basedOn w:val="Normal"/>
    <w:uiPriority w:val="34"/>
    <w:qFormat/>
    <w:rsid w:val="00F422AC"/>
    <w:pPr>
      <w:ind w:left="720"/>
      <w:contextualSpacing/>
    </w:pPr>
  </w:style>
  <w:style w:type="paragraph" w:customStyle="1" w:styleId="Default">
    <w:name w:val="Default"/>
    <w:rsid w:val="008554F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1354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2926">
      <w:bodyDiv w:val="1"/>
      <w:marLeft w:val="0"/>
      <w:marRight w:val="0"/>
      <w:marTop w:val="0"/>
      <w:marBottom w:val="0"/>
      <w:divBdr>
        <w:top w:val="none" w:sz="0" w:space="0" w:color="auto"/>
        <w:left w:val="none" w:sz="0" w:space="0" w:color="auto"/>
        <w:bottom w:val="none" w:sz="0" w:space="0" w:color="auto"/>
        <w:right w:val="none" w:sz="0" w:space="0" w:color="auto"/>
      </w:divBdr>
    </w:div>
    <w:div w:id="485244662">
      <w:bodyDiv w:val="1"/>
      <w:marLeft w:val="0"/>
      <w:marRight w:val="0"/>
      <w:marTop w:val="0"/>
      <w:marBottom w:val="0"/>
      <w:divBdr>
        <w:top w:val="none" w:sz="0" w:space="0" w:color="auto"/>
        <w:left w:val="none" w:sz="0" w:space="0" w:color="auto"/>
        <w:bottom w:val="none" w:sz="0" w:space="0" w:color="auto"/>
        <w:right w:val="none" w:sz="0" w:space="0" w:color="auto"/>
      </w:divBdr>
    </w:div>
    <w:div w:id="1031803836">
      <w:bodyDiv w:val="1"/>
      <w:marLeft w:val="0"/>
      <w:marRight w:val="0"/>
      <w:marTop w:val="0"/>
      <w:marBottom w:val="0"/>
      <w:divBdr>
        <w:top w:val="none" w:sz="0" w:space="0" w:color="auto"/>
        <w:left w:val="none" w:sz="0" w:space="0" w:color="auto"/>
        <w:bottom w:val="none" w:sz="0" w:space="0" w:color="auto"/>
        <w:right w:val="none" w:sz="0" w:space="0" w:color="auto"/>
      </w:divBdr>
    </w:div>
    <w:div w:id="1087308003">
      <w:bodyDiv w:val="1"/>
      <w:marLeft w:val="0"/>
      <w:marRight w:val="0"/>
      <w:marTop w:val="0"/>
      <w:marBottom w:val="0"/>
      <w:divBdr>
        <w:top w:val="none" w:sz="0" w:space="0" w:color="auto"/>
        <w:left w:val="none" w:sz="0" w:space="0" w:color="auto"/>
        <w:bottom w:val="none" w:sz="0" w:space="0" w:color="auto"/>
        <w:right w:val="none" w:sz="0" w:space="0" w:color="auto"/>
      </w:divBdr>
    </w:div>
    <w:div w:id="12722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42674324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1792-F544-4777-86F2-BBEBDA3C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5174</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Vega Prentice, Nixida</dc:creator>
  <cp:lastModifiedBy>WOJCZAK, WENDY</cp:lastModifiedBy>
  <cp:revision>9</cp:revision>
  <cp:lastPrinted>2022-05-31T20:09:00Z</cp:lastPrinted>
  <dcterms:created xsi:type="dcterms:W3CDTF">2022-06-06T12:06:00Z</dcterms:created>
  <dcterms:modified xsi:type="dcterms:W3CDTF">2022-06-06T12:30:00Z</dcterms:modified>
</cp:coreProperties>
</file>