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0CF6" w14:textId="77777777" w:rsidR="000A4A5D" w:rsidRDefault="00FD04EE" w:rsidP="00654C31">
      <w:pPr>
        <w:tabs>
          <w:tab w:val="right" w:pos="9360"/>
        </w:tabs>
      </w:pPr>
      <w:r>
        <w:tab/>
      </w:r>
    </w:p>
    <w:p w14:paraId="6E48E80C" w14:textId="77777777" w:rsidR="000A4A5D" w:rsidRDefault="00FD04EE"/>
    <w:p w14:paraId="7DFAF46A" w14:textId="77777777" w:rsidR="000A4A5D" w:rsidRPr="006C29A5" w:rsidRDefault="00FD04EE" w:rsidP="00512139">
      <w:pPr>
        <w:pStyle w:val="granted"/>
        <w:rPr>
          <w:rFonts w:ascii="Arial" w:hAnsi="Arial" w:cs="Arial"/>
          <w:b/>
          <w:bCs/>
          <w:color w:val="08B5E2"/>
          <w:sz w:val="20"/>
          <w:szCs w:val="20"/>
        </w:rPr>
      </w:pPr>
      <w:r w:rsidRPr="006C29A5">
        <w:rPr>
          <w:rFonts w:ascii="Arial" w:hAnsi="Arial" w:cs="Arial"/>
          <w:b/>
          <w:bCs/>
          <w:color w:val="08B5E2"/>
          <w:sz w:val="20"/>
          <w:szCs w:val="20"/>
        </w:rPr>
        <w:t xml:space="preserve">Presented by: </w:t>
      </w:r>
      <w:r w:rsidRPr="006C29A5">
        <w:rPr>
          <w:rFonts w:ascii="Arial" w:hAnsi="Arial" w:cs="Arial"/>
          <w:b/>
          <w:bCs/>
          <w:noProof/>
          <w:color w:val="08B5E2"/>
          <w:sz w:val="20"/>
          <w:szCs w:val="20"/>
        </w:rPr>
        <w:t xml:space="preserve">Obstetrics, </w:t>
      </w:r>
      <w:r w:rsidRPr="006C29A5">
        <w:rPr>
          <w:rFonts w:ascii="Arial" w:hAnsi="Arial" w:cs="Arial"/>
          <w:b/>
          <w:bCs/>
          <w:color w:val="08B5E2"/>
          <w:sz w:val="20"/>
          <w:szCs w:val="20"/>
        </w:rPr>
        <w:t>Gynecology and Reproductive Sciences</w:t>
      </w:r>
    </w:p>
    <w:p w14:paraId="1F7F819E" w14:textId="77777777" w:rsidR="000D2BA9" w:rsidRDefault="00FD04EE" w:rsidP="00743043">
      <w:pPr>
        <w:jc w:val="center"/>
        <w:rPr>
          <w:rFonts w:ascii="Georgia" w:eastAsia="Cambria" w:hAnsi="Georgia"/>
          <w:b/>
          <w:bCs/>
          <w:noProof/>
          <w:color w:val="0078BF"/>
          <w:sz w:val="28"/>
          <w:szCs w:val="28"/>
        </w:rPr>
      </w:pPr>
    </w:p>
    <w:p w14:paraId="799C4EA8" w14:textId="77777777" w:rsidR="00164471" w:rsidRPr="000D2BA9" w:rsidRDefault="00FD04EE" w:rsidP="00512139">
      <w:pPr>
        <w:spacing w:after="200"/>
        <w:jc w:val="center"/>
        <w:rPr>
          <w:rFonts w:ascii="Georgia" w:eastAsia="Cambria" w:hAnsi="Georgia"/>
          <w:b/>
          <w:bCs/>
          <w:noProof/>
          <w:color w:val="0078BF"/>
          <w:sz w:val="28"/>
          <w:szCs w:val="28"/>
        </w:rPr>
      </w:pPr>
      <w:r w:rsidRPr="000D2BA9">
        <w:rPr>
          <w:rFonts w:ascii="Georgia" w:eastAsia="Cambria" w:hAnsi="Georgia"/>
          <w:b/>
          <w:bCs/>
          <w:noProof/>
          <w:color w:val="0078BF"/>
          <w:sz w:val="28"/>
          <w:szCs w:val="28"/>
        </w:rPr>
        <w:t>OB/GYN GR: The Importance of Placental Examination for You and Your Patient</w:t>
      </w:r>
    </w:p>
    <w:p w14:paraId="7C826F13" w14:textId="77777777" w:rsidR="00C86889" w:rsidRPr="00CC0ABE" w:rsidRDefault="00FD04EE" w:rsidP="00512139">
      <w:pPr>
        <w:spacing w:after="200"/>
        <w:jc w:val="center"/>
        <w:rPr>
          <w:rFonts w:ascii="Arial" w:eastAsia="Cambria" w:hAnsi="Arial"/>
          <w:noProof/>
          <w:sz w:val="22"/>
          <w:szCs w:val="22"/>
        </w:rPr>
      </w:pPr>
      <w:bookmarkStart w:id="0" w:name="_Hlk76632197"/>
      <w:r w:rsidRPr="00CC0ABE">
        <w:rPr>
          <w:rFonts w:ascii="Arial" w:eastAsia="Cambria" w:hAnsi="Arial"/>
          <w:noProof/>
          <w:sz w:val="22"/>
          <w:szCs w:val="22"/>
        </w:rPr>
        <w:t>10/28/2021 4:00:00 PM</w:t>
      </w:r>
      <w:bookmarkEnd w:id="0"/>
      <w:r w:rsidRPr="00CC0ABE">
        <w:rPr>
          <w:rFonts w:ascii="Symbol" w:eastAsia="Cambria" w:hAnsi="Symbol"/>
          <w:noProof/>
          <w:sz w:val="22"/>
          <w:szCs w:val="22"/>
        </w:rPr>
        <w:sym w:font="Symbol" w:char="F02D"/>
      </w:r>
      <w:r w:rsidRPr="00CC0ABE">
        <w:rPr>
          <w:rFonts w:ascii="Arial" w:eastAsia="Cambria" w:hAnsi="Arial"/>
          <w:noProof/>
          <w:sz w:val="22"/>
          <w:szCs w:val="22"/>
        </w:rPr>
        <w:t xml:space="preserve">10/28/2021 5:00:00 PM </w:t>
      </w:r>
      <w:r w:rsidRPr="00CC0ABE">
        <w:rPr>
          <w:rFonts w:ascii="Arial" w:eastAsia="Cambria" w:hAnsi="Arial"/>
          <w:noProof/>
          <w:color w:val="0078BF"/>
          <w:sz w:val="22"/>
          <w:szCs w:val="22"/>
        </w:rPr>
        <w:t>|</w:t>
      </w:r>
      <w:r w:rsidRPr="00CC0ABE">
        <w:rPr>
          <w:rFonts w:ascii="Arial" w:eastAsia="Cambria" w:hAnsi="Arial"/>
          <w:noProof/>
          <w:sz w:val="22"/>
          <w:szCs w:val="22"/>
        </w:rPr>
        <w:t xml:space="preserve"> Online</w:t>
      </w:r>
    </w:p>
    <w:p w14:paraId="32EC2969" w14:textId="77777777" w:rsidR="00C86889" w:rsidRPr="00AC4DCE" w:rsidRDefault="00FD04EE" w:rsidP="00512139">
      <w:pPr>
        <w:spacing w:after="200"/>
        <w:jc w:val="center"/>
        <w:rPr>
          <w:rFonts w:ascii="Arial" w:eastAsia="Cambria" w:hAnsi="Arial" w:cs="Arial"/>
          <w:noProof/>
          <w:color w:val="000000"/>
          <w:sz w:val="22"/>
          <w:szCs w:val="22"/>
        </w:rPr>
      </w:pPr>
      <w:r>
        <w:t xml:space="preserve">Weekly Grand Rounds Series (Live Activity and </w:t>
      </w:r>
      <w:r>
        <w:t>Virtual)</w:t>
      </w:r>
    </w:p>
    <w:p w14:paraId="28FD5E36" w14:textId="77777777" w:rsidR="00527E2C" w:rsidRDefault="00FD04EE" w:rsidP="00527E2C">
      <w:pPr>
        <w:spacing w:after="200"/>
        <w:jc w:val="center"/>
        <w:rPr>
          <w:rFonts w:ascii="Arial" w:eastAsia="Cambria" w:hAnsi="Arial" w:cs="Arial"/>
          <w:b/>
          <w:bCs/>
          <w:noProof/>
          <w:sz w:val="22"/>
          <w:szCs w:val="22"/>
        </w:rPr>
      </w:pPr>
      <w:r w:rsidRPr="00AC4DCE">
        <w:rPr>
          <w:rFonts w:ascii="Arial" w:eastAsia="Cambria" w:hAnsi="Arial" w:cs="Arial"/>
          <w:b/>
          <w:bCs/>
          <w:iCs/>
          <w:sz w:val="22"/>
          <w:szCs w:val="22"/>
        </w:rPr>
        <w:t xml:space="preserve">Texting code for today’s session: </w:t>
      </w:r>
      <w:r>
        <w:rPr>
          <w:rFonts w:ascii="Arial" w:eastAsia="Cambria" w:hAnsi="Arial" w:cs="Arial"/>
          <w:b/>
          <w:bCs/>
          <w:iCs/>
          <w:noProof/>
          <w:sz w:val="22"/>
          <w:szCs w:val="22"/>
        </w:rPr>
        <w:t>28593</w:t>
      </w:r>
    </w:p>
    <w:p w14:paraId="1B1418E2" w14:textId="77777777" w:rsidR="00527E2C" w:rsidRPr="009C1A30" w:rsidRDefault="00FD04EE" w:rsidP="00527E2C">
      <w:pPr>
        <w:spacing w:after="200"/>
        <w:jc w:val="center"/>
        <w:rPr>
          <w:rFonts w:ascii="Arial" w:eastAsia="Cambria" w:hAnsi="Arial" w:cs="Arial"/>
          <w:b/>
          <w:bCs/>
          <w:noProof/>
          <w:sz w:val="22"/>
          <w:szCs w:val="22"/>
        </w:rPr>
      </w:pPr>
    </w:p>
    <w:p w14:paraId="6D0B52B7" w14:textId="77777777" w:rsidR="00527E2C" w:rsidRPr="009C1A30" w:rsidRDefault="00FD04EE" w:rsidP="00527E2C">
      <w:pPr>
        <w:spacing w:after="200"/>
        <w:rPr>
          <w:rFonts w:ascii="Arial" w:eastAsia="Cambria" w:hAnsi="Arial" w:cs="Arial"/>
          <w:noProof/>
          <w:sz w:val="22"/>
          <w:szCs w:val="22"/>
        </w:rPr>
      </w:pPr>
      <w:r w:rsidRPr="00164471">
        <w:rPr>
          <w:rFonts w:ascii="Arial" w:eastAsia="Cambria" w:hAnsi="Arial" w:cs="Arial"/>
          <w:b/>
          <w:bCs/>
          <w:sz w:val="22"/>
          <w:szCs w:val="22"/>
        </w:rPr>
        <w:t xml:space="preserve">Faculty: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11DD1" w14:paraId="1FFE0CBD" w14:textId="77777777">
        <w:trPr>
          <w:tblCellSpacing w:w="15" w:type="dxa"/>
        </w:trPr>
        <w:tc>
          <w:tcPr>
            <w:tcW w:w="0" w:type="auto"/>
            <w:vAlign w:val="center"/>
          </w:tcPr>
          <w:p w14:paraId="667134A8" w14:textId="77777777" w:rsidR="00511DD1" w:rsidRDefault="00FD04EE">
            <w:r>
              <w:t>Harvey J Kliman, MD, PhD</w:t>
            </w:r>
          </w:p>
        </w:tc>
      </w:tr>
      <w:tr w:rsidR="00511DD1" w14:paraId="364C8F8B" w14:textId="77777777">
        <w:trPr>
          <w:tblCellSpacing w:w="15" w:type="dxa"/>
        </w:trPr>
        <w:tc>
          <w:tcPr>
            <w:tcW w:w="0" w:type="auto"/>
            <w:vAlign w:val="center"/>
          </w:tcPr>
          <w:p w14:paraId="703B843A" w14:textId="77777777" w:rsidR="00511DD1" w:rsidRDefault="00FD04EE">
            <w:r>
              <w:t>Research Scientist</w:t>
            </w:r>
          </w:p>
        </w:tc>
      </w:tr>
      <w:tr w:rsidR="00511DD1" w14:paraId="4F7FEA6A" w14:textId="77777777">
        <w:trPr>
          <w:tblCellSpacing w:w="15" w:type="dxa"/>
        </w:trPr>
        <w:tc>
          <w:tcPr>
            <w:tcW w:w="0" w:type="auto"/>
            <w:vAlign w:val="center"/>
          </w:tcPr>
          <w:p w14:paraId="322BA5AF" w14:textId="77777777" w:rsidR="00511DD1" w:rsidRDefault="00FD04EE">
            <w:r>
              <w:t>Yale University</w:t>
            </w:r>
          </w:p>
        </w:tc>
      </w:tr>
      <w:tr w:rsidR="00511DD1" w14:paraId="283EBE0B" w14:textId="77777777">
        <w:trPr>
          <w:tblCellSpacing w:w="15" w:type="dxa"/>
        </w:trPr>
        <w:tc>
          <w:tcPr>
            <w:tcW w:w="0" w:type="auto"/>
            <w:vAlign w:val="center"/>
          </w:tcPr>
          <w:p w14:paraId="7950B50D" w14:textId="77777777" w:rsidR="00511DD1" w:rsidRDefault="00511DD1"/>
        </w:tc>
      </w:tr>
    </w:tbl>
    <w:p w14:paraId="0A0D6B77" w14:textId="77777777" w:rsidR="00511DD1" w:rsidRDefault="00511DD1"/>
    <w:p w14:paraId="3FE061F0" w14:textId="77777777" w:rsidR="001572B8" w:rsidRDefault="00FD04EE" w:rsidP="00C86889">
      <w:pPr>
        <w:spacing w:after="200"/>
        <w:rPr>
          <w:rFonts w:ascii="Arial" w:eastAsia="Cambria" w:hAnsi="Arial" w:cs="Arial"/>
          <w:sz w:val="22"/>
          <w:szCs w:val="22"/>
        </w:rPr>
        <w:sectPr w:rsidR="001572B8">
          <w:headerReference w:type="default" r:id="rId6"/>
          <w:pgSz w:w="12240" w:h="15840"/>
          <w:pgMar w:top="1440" w:right="1440" w:bottom="1440" w:left="1440" w:header="720" w:footer="720" w:gutter="0"/>
          <w:cols w:space="720"/>
          <w:docGrid w:linePitch="360"/>
        </w:sectPr>
      </w:pPr>
    </w:p>
    <w:tbl>
      <w:tblPr>
        <w:tblStyle w:val="ListTable5Dark-Accent51"/>
        <w:tblW w:w="9320" w:type="dxa"/>
        <w:tblLook w:val="04A0" w:firstRow="1" w:lastRow="0" w:firstColumn="1" w:lastColumn="0" w:noHBand="0" w:noVBand="1"/>
      </w:tblPr>
      <w:tblGrid>
        <w:gridCol w:w="9320"/>
      </w:tblGrid>
      <w:tr w:rsidR="00511DD1" w14:paraId="7788C3C6" w14:textId="77777777" w:rsidTr="00511DD1">
        <w:trPr>
          <w:cnfStyle w:val="100000000000" w:firstRow="1" w:lastRow="0" w:firstColumn="0" w:lastColumn="0" w:oddVBand="0" w:evenVBand="0" w:oddHBand="0" w:evenHBand="0" w:firstRowFirstColumn="0" w:firstRowLastColumn="0" w:lastRowFirstColumn="0" w:lastRowLastColumn="0"/>
          <w:trHeight w:val="633"/>
        </w:trPr>
        <w:tc>
          <w:tcPr>
            <w:cnfStyle w:val="001000000100" w:firstRow="0" w:lastRow="0" w:firstColumn="1" w:lastColumn="0" w:oddVBand="0" w:evenVBand="0" w:oddHBand="0" w:evenHBand="0" w:firstRowFirstColumn="1" w:firstRowLastColumn="0" w:lastRowFirstColumn="0" w:lastRowLastColumn="0"/>
            <w:tcW w:w="9320" w:type="dxa"/>
            <w:tcBorders>
              <w:right w:val="single" w:sz="4" w:space="0" w:color="FFFFFF" w:themeColor="background1"/>
            </w:tcBorders>
          </w:tcPr>
          <w:p w14:paraId="1E1A0663" w14:textId="77777777" w:rsidR="008F5709" w:rsidRPr="00CC0ABE" w:rsidRDefault="00FD04EE" w:rsidP="008F5709">
            <w:pPr>
              <w:spacing w:before="120" w:after="120"/>
              <w:rPr>
                <w:rFonts w:ascii="Arial" w:eastAsia="Cambria" w:hAnsi="Arial" w:cs="Arial"/>
              </w:rPr>
            </w:pPr>
            <w:r w:rsidRPr="00CC0ABE">
              <w:rPr>
                <w:rFonts w:ascii="Arial" w:eastAsia="Cambria" w:hAnsi="Arial" w:cs="Arial"/>
              </w:rPr>
              <w:t xml:space="preserve">Program Goal: </w:t>
            </w:r>
          </w:p>
          <w:p w14:paraId="6773C167" w14:textId="77777777" w:rsidR="008F5709" w:rsidRPr="00CC0ABE" w:rsidRDefault="00FD04EE" w:rsidP="00B62074">
            <w:pPr>
              <w:spacing w:after="120"/>
              <w:rPr>
                <w:rFonts w:ascii="Arial" w:eastAsia="Cambria" w:hAnsi="Arial"/>
                <w:color w:val="000000"/>
              </w:rPr>
            </w:pPr>
            <w:r w:rsidRPr="00CC0ABE">
              <w:rPr>
                <w:rFonts w:ascii="Arial" w:eastAsia="Cambria" w:hAnsi="Arial" w:cs="Arial"/>
                <w:b w:val="0"/>
                <w:bCs w:val="0"/>
                <w:noProof/>
              </w:rPr>
              <w:t>1 Describe</w:t>
            </w:r>
            <w:r w:rsidRPr="00CC0ABE">
              <w:rPr>
                <w:rFonts w:ascii="Arial" w:eastAsia="Cambria" w:hAnsi="Arial" w:cs="Arial"/>
                <w:noProof/>
              </w:rPr>
              <w:t xml:space="preserve"> the overall structure of the placenta, and in particular, the role of the trophoblasts in normal and abnormal placental growth. Appreciate, through clinical examples, how the placenta can reveal the cause of many cases of poor pregnancy outcome.</w:t>
            </w:r>
          </w:p>
          <w:p w14:paraId="5ECF8A85" w14:textId="77777777" w:rsidR="00511DD1" w:rsidRPr="00CC0ABE" w:rsidRDefault="00FD04EE" w:rsidP="00B62074">
            <w:pPr>
              <w:spacing w:after="120"/>
              <w:rPr>
                <w:rFonts w:ascii="Arial" w:eastAsia="Cambria" w:hAnsi="Arial" w:cs="Arial"/>
                <w:noProof/>
              </w:rPr>
            </w:pPr>
            <w:r w:rsidRPr="00CC0ABE">
              <w:rPr>
                <w:rFonts w:ascii="Arial" w:eastAsia="Cambria" w:hAnsi="Arial" w:cs="Arial"/>
                <w:noProof/>
              </w:rPr>
              <w:t xml:space="preserve">2 </w:t>
            </w:r>
            <w:r w:rsidRPr="00CC0ABE">
              <w:rPr>
                <w:rFonts w:ascii="Arial" w:eastAsia="Cambria" w:hAnsi="Arial" w:cs="Arial"/>
                <w:noProof/>
              </w:rPr>
              <w:t>Understand the clinical significance of a very small for gestational age placenta.</w:t>
            </w:r>
          </w:p>
          <w:p w14:paraId="5B02050E" w14:textId="77777777" w:rsidR="008F5709" w:rsidRPr="00CC0ABE" w:rsidRDefault="00FD04EE" w:rsidP="00B62074">
            <w:pPr>
              <w:spacing w:after="120"/>
              <w:rPr>
                <w:rFonts w:ascii="Arial" w:eastAsia="Cambria" w:hAnsi="Arial"/>
                <w:color w:val="000000"/>
              </w:rPr>
            </w:pPr>
            <w:r w:rsidRPr="00CC0ABE">
              <w:rPr>
                <w:rFonts w:ascii="Arial" w:eastAsia="Cambria" w:hAnsi="Arial" w:cs="Arial"/>
                <w:noProof/>
              </w:rPr>
              <w:t xml:space="preserve">3 Describe what a trophoblast inclusion is and its relationship to genetic and developmentally abnormal pregnancies. Describe and contrast the histologic characteristics of </w:t>
            </w:r>
            <w:r w:rsidRPr="00CC0ABE">
              <w:rPr>
                <w:rFonts w:ascii="Arial" w:eastAsia="Cambria" w:hAnsi="Arial" w:cs="Arial"/>
                <w:noProof/>
              </w:rPr>
              <w:t>intrauterine inflammation, maternal immunologic attack of the placenta, and COVID placenta.</w:t>
            </w:r>
          </w:p>
        </w:tc>
      </w:tr>
      <w:tr w:rsidR="00511DD1" w14:paraId="1B22872D" w14:textId="77777777" w:rsidTr="00511DD1">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320" w:type="dxa"/>
          </w:tcPr>
          <w:p w14:paraId="54CB6D07" w14:textId="77777777" w:rsidR="008F5709" w:rsidRPr="00CC0ABE" w:rsidRDefault="00FD04EE" w:rsidP="008F5709">
            <w:pPr>
              <w:spacing w:before="120" w:after="200"/>
              <w:rPr>
                <w:rFonts w:ascii="Arial" w:eastAsia="Cambria" w:hAnsi="Arial" w:cs="Arial"/>
              </w:rPr>
            </w:pPr>
            <w:r w:rsidRPr="00CC0ABE">
              <w:rPr>
                <w:rFonts w:ascii="Arial" w:eastAsia="Cambria" w:hAnsi="Arial" w:cs="Arial"/>
              </w:rPr>
              <w:t xml:space="preserve">Target Audience: </w:t>
            </w:r>
            <w:r w:rsidRPr="00CC0ABE">
              <w:rPr>
                <w:rFonts w:ascii="Arial" w:eastAsia="Cambria" w:hAnsi="Arial" w:cs="Arial"/>
                <w:b w:val="0"/>
                <w:bCs w:val="0"/>
                <w:noProof/>
              </w:rPr>
              <w:t>Ob/Gyn</w:t>
            </w:r>
          </w:p>
        </w:tc>
      </w:tr>
    </w:tbl>
    <w:p w14:paraId="16A896D4" w14:textId="77777777" w:rsidR="00CC0ABE" w:rsidRDefault="00FD04EE" w:rsidP="00C86889">
      <w:pPr>
        <w:spacing w:after="200"/>
        <w:rPr>
          <w:rFonts w:ascii="Arial" w:eastAsia="Cambria" w:hAnsi="Arial" w:cs="Arial"/>
          <w:i/>
          <w:sz w:val="16"/>
          <w:szCs w:val="16"/>
        </w:rPr>
      </w:pPr>
    </w:p>
    <w:p w14:paraId="5CAEEF72" w14:textId="35D711CA" w:rsidR="004A543C" w:rsidRDefault="00FD04EE" w:rsidP="00FD04EE">
      <w:pPr>
        <w:rPr>
          <w:rFonts w:ascii="Arial" w:eastAsia="Cambria" w:hAnsi="Arial" w:cs="Arial"/>
          <w:i/>
          <w:sz w:val="16"/>
          <w:szCs w:val="16"/>
        </w:rPr>
      </w:pPr>
      <w:r>
        <w:rPr>
          <w:rFonts w:ascii="Arial" w:eastAsia="Cambria" w:hAnsi="Arial" w:cs="Arial"/>
          <w:i/>
          <w:sz w:val="16"/>
          <w:szCs w:val="16"/>
        </w:rPr>
        <w:t xml:space="preserve">Financial Disclosure Information: </w:t>
      </w:r>
    </w:p>
    <w:p w14:paraId="16D23D77" w14:textId="3B3B5DA1" w:rsidR="00FD04EE" w:rsidRDefault="00FD04EE" w:rsidP="00FD04EE">
      <w:pPr>
        <w:rPr>
          <w:rFonts w:ascii="Arial" w:eastAsia="Cambria" w:hAnsi="Arial" w:cs="Arial"/>
          <w:i/>
          <w:sz w:val="16"/>
          <w:szCs w:val="16"/>
        </w:rPr>
      </w:pPr>
      <w:r>
        <w:rPr>
          <w:sz w:val="16"/>
          <w:szCs w:val="16"/>
        </w:rPr>
        <w:t>Harvey J. Kliman, MD, PhD</w:t>
      </w:r>
      <w:r>
        <w:rPr>
          <w:sz w:val="16"/>
          <w:szCs w:val="16"/>
        </w:rPr>
        <w:t>, faculty for this educational activity, has no relevant financial relationship(s) with ineligible companies to disclose</w:t>
      </w:r>
    </w:p>
    <w:p w14:paraId="3A1E0ADA" w14:textId="77777777" w:rsidR="00FD04EE" w:rsidRDefault="00FD04EE" w:rsidP="00C86889">
      <w:pPr>
        <w:spacing w:after="200"/>
        <w:rPr>
          <w:rFonts w:ascii="Arial" w:eastAsia="Cambria" w:hAnsi="Arial" w:cs="Arial"/>
          <w:i/>
          <w:sz w:val="16"/>
          <w:szCs w:val="16"/>
        </w:rPr>
      </w:pPr>
    </w:p>
    <w:p w14:paraId="3E24DD9A" w14:textId="5FF0F619" w:rsidR="00C86889" w:rsidRPr="00512139" w:rsidRDefault="00FD04EE" w:rsidP="00C86889">
      <w:pPr>
        <w:spacing w:after="200"/>
        <w:rPr>
          <w:rFonts w:ascii="Arial" w:eastAsia="Cambria" w:hAnsi="Arial" w:cs="Arial"/>
          <w:i/>
          <w:sz w:val="16"/>
          <w:szCs w:val="16"/>
        </w:rPr>
      </w:pPr>
      <w:r w:rsidRPr="00512139">
        <w:rPr>
          <w:rFonts w:ascii="Arial" w:eastAsia="Cambria" w:hAnsi="Arial" w:cs="Arial"/>
          <w:i/>
          <w:sz w:val="16"/>
          <w:szCs w:val="16"/>
        </w:rPr>
        <w:t xml:space="preserve">Accreditation Statement: Yale School of Medicine is accredited by the Accreditation Council for </w:t>
      </w:r>
      <w:r w:rsidRPr="00512139">
        <w:rPr>
          <w:rFonts w:ascii="Arial" w:eastAsia="Cambria" w:hAnsi="Arial" w:cs="Arial"/>
          <w:i/>
          <w:sz w:val="16"/>
          <w:szCs w:val="16"/>
        </w:rPr>
        <w:t>Continuing Medical Education (ACCME) to provide continuing medical education for physicians.</w:t>
      </w:r>
    </w:p>
    <w:p w14:paraId="27563A15" w14:textId="77777777" w:rsidR="00C86889" w:rsidRPr="00512139" w:rsidRDefault="00FD04EE" w:rsidP="00C86889">
      <w:pPr>
        <w:spacing w:after="200"/>
        <w:rPr>
          <w:rFonts w:ascii="Arial" w:eastAsia="Cambria" w:hAnsi="Arial" w:cs="Arial"/>
          <w:i/>
          <w:sz w:val="16"/>
          <w:szCs w:val="16"/>
        </w:rPr>
      </w:pPr>
      <w:r w:rsidRPr="00512139">
        <w:rPr>
          <w:rFonts w:ascii="Arial" w:eastAsia="Cambria" w:hAnsi="Arial" w:cs="Arial"/>
          <w:i/>
          <w:sz w:val="16"/>
          <w:szCs w:val="16"/>
        </w:rPr>
        <w:t>Designation Statement: Yale School of Medicine designates this</w:t>
      </w:r>
      <w:r w:rsidRPr="00512139">
        <w:rPr>
          <w:rFonts w:ascii="Arial" w:eastAsia="Cambria" w:hAnsi="Arial" w:cs="Arial"/>
          <w:i/>
          <w:sz w:val="16"/>
          <w:szCs w:val="16"/>
        </w:rPr>
        <w:t xml:space="preserve"> </w:t>
      </w:r>
      <w:r>
        <w:rPr>
          <w:rFonts w:ascii="Arial" w:eastAsia="Cambria" w:hAnsi="Arial" w:cs="Arial"/>
          <w:i/>
          <w:noProof/>
          <w:sz w:val="16"/>
          <w:szCs w:val="16"/>
        </w:rPr>
        <w:t>Live Activity</w:t>
      </w:r>
      <w:r w:rsidRPr="00512139">
        <w:rPr>
          <w:rFonts w:ascii="Arial" w:eastAsia="Cambria" w:hAnsi="Arial" w:cs="Arial"/>
          <w:i/>
          <w:sz w:val="16"/>
          <w:szCs w:val="16"/>
        </w:rPr>
        <w:t xml:space="preserve"> for a maximum of </w:t>
      </w:r>
      <w:r>
        <w:rPr>
          <w:rFonts w:ascii="Arial" w:eastAsia="Cambria" w:hAnsi="Arial" w:cs="Arial"/>
          <w:b/>
          <w:bCs/>
          <w:i/>
          <w:noProof/>
          <w:color w:val="0078BF"/>
          <w:sz w:val="16"/>
          <w:szCs w:val="16"/>
        </w:rPr>
        <w:t>1.00</w:t>
      </w:r>
      <w:r w:rsidRPr="006F195F">
        <w:rPr>
          <w:rFonts w:ascii="Arial" w:eastAsia="Cambria" w:hAnsi="Arial" w:cs="Arial"/>
          <w:b/>
          <w:bCs/>
          <w:i/>
          <w:color w:val="0078BF"/>
          <w:sz w:val="16"/>
          <w:szCs w:val="16"/>
        </w:rPr>
        <w:t xml:space="preserve"> AMA PRA Category 1 Credit</w:t>
      </w:r>
      <w:r>
        <w:rPr>
          <w:rFonts w:ascii="Arial" w:eastAsia="Cambria" w:hAnsi="Arial" w:cs="Arial"/>
          <w:b/>
          <w:bCs/>
          <w:i/>
          <w:color w:val="0078BF"/>
          <w:sz w:val="16"/>
          <w:szCs w:val="16"/>
        </w:rPr>
        <w:t>(s)™</w:t>
      </w:r>
      <w:r w:rsidRPr="006F195F">
        <w:rPr>
          <w:rFonts w:ascii="Arial" w:eastAsia="Cambria" w:hAnsi="Arial" w:cs="Arial"/>
          <w:b/>
          <w:bCs/>
          <w:i/>
          <w:color w:val="0078BF"/>
          <w:sz w:val="16"/>
          <w:szCs w:val="16"/>
        </w:rPr>
        <w:t>.</w:t>
      </w:r>
      <w:r w:rsidRPr="006F195F">
        <w:rPr>
          <w:rFonts w:ascii="Arial" w:eastAsia="Cambria" w:hAnsi="Arial" w:cs="Arial"/>
          <w:i/>
          <w:color w:val="0078BF"/>
          <w:sz w:val="16"/>
          <w:szCs w:val="16"/>
        </w:rPr>
        <w:t xml:space="preserve"> </w:t>
      </w:r>
      <w:r w:rsidRPr="00512139">
        <w:rPr>
          <w:rFonts w:ascii="Arial" w:eastAsia="Cambria" w:hAnsi="Arial" w:cs="Arial"/>
          <w:i/>
          <w:sz w:val="16"/>
          <w:szCs w:val="16"/>
        </w:rPr>
        <w:t>Physicians should only claim cred</w:t>
      </w:r>
      <w:r w:rsidRPr="00512139">
        <w:rPr>
          <w:rFonts w:ascii="Arial" w:eastAsia="Cambria" w:hAnsi="Arial" w:cs="Arial"/>
          <w:i/>
          <w:sz w:val="16"/>
          <w:szCs w:val="16"/>
        </w:rPr>
        <w:t>it commensurate with the extent of their participation in the activity.</w:t>
      </w:r>
    </w:p>
    <w:p w14:paraId="31FF0901" w14:textId="77777777" w:rsidR="00222E80" w:rsidRPr="00CC0ABE" w:rsidRDefault="00FD04EE" w:rsidP="00222E80">
      <w:pPr>
        <w:spacing w:after="200"/>
        <w:rPr>
          <w:rFonts w:ascii="Arial" w:eastAsia="Cambria" w:hAnsi="Arial" w:cs="Arial"/>
          <w:b/>
          <w:bCs/>
          <w:color w:val="000000"/>
          <w:sz w:val="22"/>
          <w:szCs w:val="22"/>
        </w:rPr>
      </w:pPr>
      <w:r w:rsidRPr="00CC0ABE">
        <w:rPr>
          <w:rFonts w:ascii="Arial" w:eastAsia="Cambria" w:hAnsi="Arial" w:cs="Arial"/>
          <w:b/>
          <w:bCs/>
          <w:sz w:val="22"/>
          <w:szCs w:val="22"/>
        </w:rPr>
        <w:t xml:space="preserve">For questions, email </w:t>
      </w:r>
      <w:r w:rsidRPr="00CC0ABE">
        <w:rPr>
          <w:rFonts w:ascii="Arial" w:eastAsia="Cambria" w:hAnsi="Arial" w:cs="Arial"/>
          <w:b/>
          <w:bCs/>
          <w:noProof/>
          <w:sz w:val="22"/>
          <w:szCs w:val="22"/>
        </w:rPr>
        <w:t>amy.chmiel@yale.edu</w:t>
      </w:r>
      <w:r w:rsidRPr="00CC0ABE">
        <w:rPr>
          <w:rFonts w:ascii="Arial" w:eastAsia="Cambria" w:hAnsi="Arial" w:cs="Arial"/>
          <w:b/>
          <w:bCs/>
          <w:sz w:val="22"/>
          <w:szCs w:val="22"/>
        </w:rPr>
        <w:t>.</w:t>
      </w:r>
    </w:p>
    <w:p w14:paraId="200928E2" w14:textId="77777777" w:rsidR="00B85050" w:rsidRDefault="00FD04EE" w:rsidP="000A4A5D">
      <w:pPr>
        <w:jc w:val="center"/>
      </w:pPr>
    </w:p>
    <w:sectPr w:rsidR="00B85050" w:rsidSect="005121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6B83" w14:textId="77777777" w:rsidR="00000000" w:rsidRDefault="00FD04EE">
      <w:r>
        <w:separator/>
      </w:r>
    </w:p>
  </w:endnote>
  <w:endnote w:type="continuationSeparator" w:id="0">
    <w:p w14:paraId="6FE891BC" w14:textId="77777777" w:rsidR="00000000" w:rsidRDefault="00FD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1E73" w14:textId="77777777" w:rsidR="00000000" w:rsidRDefault="00FD04EE">
      <w:r>
        <w:separator/>
      </w:r>
    </w:p>
  </w:footnote>
  <w:footnote w:type="continuationSeparator" w:id="0">
    <w:p w14:paraId="4F99C8F8" w14:textId="77777777" w:rsidR="00000000" w:rsidRDefault="00FD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D32D" w14:textId="77777777" w:rsidR="00525504" w:rsidRDefault="00FD04EE">
    <w:pPr>
      <w:pStyle w:val="Header"/>
    </w:pPr>
    <w:r>
      <w:rPr>
        <w:noProof/>
      </w:rPr>
      <w:drawing>
        <wp:anchor distT="0" distB="0" distL="114300" distR="114300" simplePos="0" relativeHeight="251658240" behindDoc="1" locked="1" layoutInCell="1" allowOverlap="1" wp14:anchorId="0DFD264F" wp14:editId="43B35660">
          <wp:simplePos x="0" y="0"/>
          <wp:positionH relativeFrom="margin">
            <wp:posOffset>-1009650</wp:posOffset>
          </wp:positionH>
          <wp:positionV relativeFrom="page">
            <wp:posOffset>-222885</wp:posOffset>
          </wp:positionV>
          <wp:extent cx="7948930" cy="102863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930" cy="102863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D1"/>
    <w:rsid w:val="00511DD1"/>
    <w:rsid w:val="00FD04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13D5"/>
  <w15:docId w15:val="{0A131A68-90B6-4D1A-8CC6-9BDB46B5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ed">
    <w:name w:val="granted"/>
    <w:basedOn w:val="Normal"/>
    <w:rsid w:val="000A4A5D"/>
    <w:pPr>
      <w:spacing w:before="100" w:beforeAutospacing="1" w:after="100" w:afterAutospacing="1"/>
    </w:pPr>
    <w:rPr>
      <w:i/>
      <w:iCs/>
      <w:color w:val="003399"/>
      <w:sz w:val="21"/>
      <w:szCs w:val="21"/>
    </w:rPr>
  </w:style>
  <w:style w:type="table" w:styleId="TableGrid">
    <w:name w:val="Table Grid"/>
    <w:basedOn w:val="TableNormal"/>
    <w:uiPriority w:val="39"/>
    <w:rsid w:val="0051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51">
    <w:name w:val="List Table 5 Dark - Accent 51"/>
    <w:basedOn w:val="TableNormal"/>
    <w:uiPriority w:val="50"/>
    <w:rsid w:val="0051213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25504"/>
    <w:pPr>
      <w:tabs>
        <w:tab w:val="center" w:pos="4680"/>
        <w:tab w:val="right" w:pos="9360"/>
      </w:tabs>
    </w:pPr>
  </w:style>
  <w:style w:type="character" w:customStyle="1" w:styleId="HeaderChar">
    <w:name w:val="Header Char"/>
    <w:basedOn w:val="DefaultParagraphFont"/>
    <w:link w:val="Header"/>
    <w:uiPriority w:val="99"/>
    <w:rsid w:val="00525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5504"/>
    <w:pPr>
      <w:tabs>
        <w:tab w:val="center" w:pos="4680"/>
        <w:tab w:val="right" w:pos="9360"/>
      </w:tabs>
    </w:pPr>
  </w:style>
  <w:style w:type="character" w:customStyle="1" w:styleId="FooterChar">
    <w:name w:val="Footer Char"/>
    <w:basedOn w:val="DefaultParagraphFont"/>
    <w:link w:val="Footer"/>
    <w:uiPriority w:val="99"/>
    <w:rsid w:val="005255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Prentice, Nixida</dc:creator>
  <cp:lastModifiedBy>Chmiel, Amy</cp:lastModifiedBy>
  <cp:revision>2</cp:revision>
  <dcterms:created xsi:type="dcterms:W3CDTF">2021-10-13T13:16:00Z</dcterms:created>
  <dcterms:modified xsi:type="dcterms:W3CDTF">2021-10-13T13:16:00Z</dcterms:modified>
</cp:coreProperties>
</file>