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6718AF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12050332" w14:textId="2E2F7E97" w:rsidR="00BC6F45" w:rsidRDefault="009C034E" w:rsidP="00900898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  <w:r w:rsidR="00ED1309"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>n of</w:t>
      </w:r>
      <w:r w:rsidR="00900898">
        <w:rPr>
          <w:rFonts w:ascii="Garamond" w:hAnsi="Garamond"/>
          <w:sz w:val="24"/>
          <w:szCs w:val="24"/>
        </w:rPr>
        <w:t xml:space="preserve"> </w:t>
      </w:r>
      <w:r w:rsidR="00BC6F45">
        <w:rPr>
          <w:rFonts w:ascii="Garamond" w:hAnsi="Garamond"/>
          <w:sz w:val="24"/>
          <w:szCs w:val="24"/>
        </w:rPr>
        <w:t>General Medicine</w:t>
      </w:r>
    </w:p>
    <w:p w14:paraId="6F182D10" w14:textId="77777777" w:rsidR="00BC6F45" w:rsidRDefault="00BC6F45" w:rsidP="00900898">
      <w:pPr>
        <w:pStyle w:val="BodyText"/>
        <w:rPr>
          <w:rFonts w:ascii="Garamond" w:hAnsi="Garamond"/>
          <w:sz w:val="24"/>
          <w:szCs w:val="24"/>
        </w:rPr>
      </w:pPr>
    </w:p>
    <w:p w14:paraId="2E81C49A" w14:textId="3ECD79F4" w:rsidR="00BC6F45" w:rsidRDefault="00900898" w:rsidP="00BC6F45">
      <w:pPr>
        <w:pStyle w:val="BodyText"/>
        <w:rPr>
          <w:rFonts w:ascii="Garamond" w:hAnsi="Garamond"/>
          <w:bCs/>
          <w:sz w:val="36"/>
          <w:szCs w:val="11"/>
        </w:rPr>
      </w:pPr>
      <w:r w:rsidRPr="00BC6F45">
        <w:rPr>
          <w:rFonts w:ascii="Garamond" w:hAnsi="Garamond"/>
          <w:sz w:val="16"/>
          <w:szCs w:val="16"/>
        </w:rPr>
        <w:t xml:space="preserve"> </w:t>
      </w:r>
      <w:r w:rsidR="00BC6F45" w:rsidRPr="00BC6F45">
        <w:rPr>
          <w:rFonts w:ascii="Garamond" w:hAnsi="Garamond"/>
          <w:bCs/>
          <w:sz w:val="36"/>
          <w:szCs w:val="11"/>
        </w:rPr>
        <w:t xml:space="preserve">The 7th Annual Stephen J. </w:t>
      </w:r>
      <w:proofErr w:type="spellStart"/>
      <w:r w:rsidR="00BC6F45" w:rsidRPr="00BC6F45">
        <w:rPr>
          <w:rFonts w:ascii="Garamond" w:hAnsi="Garamond"/>
          <w:bCs/>
          <w:sz w:val="36"/>
          <w:szCs w:val="11"/>
        </w:rPr>
        <w:t>Huot</w:t>
      </w:r>
      <w:proofErr w:type="spellEnd"/>
      <w:r w:rsidR="00BC6F45" w:rsidRPr="00BC6F45">
        <w:rPr>
          <w:rFonts w:ascii="Garamond" w:hAnsi="Garamond"/>
          <w:bCs/>
          <w:sz w:val="36"/>
          <w:szCs w:val="11"/>
        </w:rPr>
        <w:t xml:space="preserve"> Lecture in Primary Care</w:t>
      </w:r>
    </w:p>
    <w:p w14:paraId="6BCC5357" w14:textId="77777777" w:rsidR="00BC6F45" w:rsidRPr="00BC6F45" w:rsidRDefault="00BC6F45" w:rsidP="00BC6F45">
      <w:pPr>
        <w:pStyle w:val="BodyText"/>
        <w:rPr>
          <w:rFonts w:ascii="Garamond" w:hAnsi="Garamond"/>
          <w:bCs/>
          <w:sz w:val="24"/>
          <w:szCs w:val="6"/>
        </w:rPr>
      </w:pPr>
    </w:p>
    <w:p w14:paraId="4360120D" w14:textId="77777777" w:rsidR="00BC6F45" w:rsidRPr="00BC6F45" w:rsidRDefault="00BC6F45" w:rsidP="00BC6F45">
      <w:pPr>
        <w:pStyle w:val="BodyText"/>
        <w:rPr>
          <w:rFonts w:ascii="Garamond" w:hAnsi="Garamond"/>
          <w:b w:val="0"/>
          <w:bCs/>
          <w:color w:val="0035AC"/>
          <w:sz w:val="60"/>
          <w:szCs w:val="60"/>
        </w:rPr>
      </w:pPr>
      <w:r w:rsidRPr="00BC6F45">
        <w:rPr>
          <w:rFonts w:ascii="Garamond" w:hAnsi="Garamond"/>
          <w:b w:val="0"/>
          <w:bCs/>
          <w:color w:val="0035AC"/>
          <w:sz w:val="60"/>
          <w:szCs w:val="60"/>
        </w:rPr>
        <w:t>Consuelo H. Wilkins, MD, MSCI  </w:t>
      </w:r>
    </w:p>
    <w:p w14:paraId="57A148D9" w14:textId="77777777" w:rsidR="00BC6F45" w:rsidRPr="00BC6F45" w:rsidRDefault="00BC6F45" w:rsidP="00BC6F45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BC6F45">
        <w:rPr>
          <w:rFonts w:ascii="Garamond" w:hAnsi="Garamond"/>
          <w:b w:val="0"/>
          <w:bCs/>
          <w:sz w:val="24"/>
          <w:szCs w:val="24"/>
        </w:rPr>
        <w:t>Senior Vice President and Senior Associate Dean for Health Equity and Inclusive Excellence </w:t>
      </w:r>
    </w:p>
    <w:p w14:paraId="0B672E26" w14:textId="19100E7E" w:rsidR="00091106" w:rsidRPr="00BC6F45" w:rsidRDefault="00BC6F45" w:rsidP="00BC6F45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BC6F45">
        <w:rPr>
          <w:rFonts w:ascii="Garamond" w:hAnsi="Garamond"/>
          <w:b w:val="0"/>
          <w:bCs/>
          <w:sz w:val="24"/>
          <w:szCs w:val="24"/>
        </w:rPr>
        <w:t>Professor of Medicine, Vanderbilt University Medical Center </w:t>
      </w:r>
    </w:p>
    <w:p w14:paraId="21593402" w14:textId="77777777" w:rsidR="00BC6F45" w:rsidRDefault="00BC6F45" w:rsidP="00BC6F45">
      <w:pPr>
        <w:jc w:val="center"/>
        <w:textAlignment w:val="baseline"/>
        <w:rPr>
          <w:rFonts w:ascii="Garamond" w:eastAsia="MS PGothic" w:hAnsi="Garamond" w:cs="MS PGothic"/>
          <w:color w:val="00B050"/>
          <w:kern w:val="24"/>
          <w:sz w:val="56"/>
          <w:szCs w:val="56"/>
        </w:rPr>
      </w:pPr>
      <w:r w:rsidRPr="00BC6F45">
        <w:rPr>
          <w:rFonts w:ascii="Garamond" w:eastAsia="MS PGothic" w:hAnsi="Garamond" w:cs="MS PGothic"/>
          <w:color w:val="00B050"/>
          <w:kern w:val="24"/>
          <w:sz w:val="56"/>
          <w:szCs w:val="56"/>
        </w:rPr>
        <w:t xml:space="preserve">“Transforming Health Systems </w:t>
      </w:r>
    </w:p>
    <w:p w14:paraId="6D6549C3" w14:textId="762CF548" w:rsidR="00BC6F45" w:rsidRPr="00BC6F45" w:rsidRDefault="00BC6F45" w:rsidP="00BC6F45">
      <w:pPr>
        <w:jc w:val="center"/>
        <w:textAlignment w:val="baseline"/>
        <w:rPr>
          <w:sz w:val="21"/>
          <w:szCs w:val="21"/>
        </w:rPr>
      </w:pPr>
      <w:r w:rsidRPr="00BC6F45">
        <w:rPr>
          <w:rFonts w:ascii="Garamond" w:eastAsia="MS PGothic" w:hAnsi="Garamond" w:cs="MS PGothic"/>
          <w:color w:val="00B050"/>
          <w:kern w:val="24"/>
          <w:sz w:val="56"/>
          <w:szCs w:val="56"/>
        </w:rPr>
        <w:t>to Achieve Health Equity”</w:t>
      </w:r>
    </w:p>
    <w:p w14:paraId="5044AF88" w14:textId="3DD0B972" w:rsidR="00BC6F45" w:rsidRPr="00900898" w:rsidRDefault="00BC6F45" w:rsidP="00900898">
      <w:pPr>
        <w:pStyle w:val="BodyText"/>
        <w:rPr>
          <w:rFonts w:ascii="Garamond" w:hAnsi="Garamond"/>
          <w:sz w:val="24"/>
          <w:szCs w:val="24"/>
        </w:rPr>
        <w:sectPr w:rsidR="00BC6F45" w:rsidRPr="00900898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C9784D" w14:textId="08D15623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BC6F45">
        <w:rPr>
          <w:rFonts w:ascii="Garamond" w:eastAsiaTheme="minorHAnsi" w:hAnsi="Garamond"/>
          <w:b/>
          <w:bCs/>
          <w:color w:val="000000"/>
          <w:sz w:val="22"/>
          <w:szCs w:val="22"/>
        </w:rPr>
        <w:t>October 6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3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5C0697CD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</w:t>
      </w:r>
      <w:r w:rsidR="00BC6F45">
        <w:rPr>
          <w:rFonts w:ascii="Garamond" w:eastAsia="Cambria" w:hAnsi="Garamond" w:cs="Arial"/>
          <w:b/>
          <w:bCs/>
          <w:iCs/>
          <w:sz w:val="22"/>
          <w:szCs w:val="22"/>
        </w:rPr>
        <w:t>3301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77777777" w:rsidR="00091106" w:rsidRPr="007726A3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6E277176" w14:textId="7C5C443D" w:rsidR="00BC6F45" w:rsidRPr="00BC6F45" w:rsidRDefault="00BC6F45" w:rsidP="00BC6F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eastAsia="Cambria" w:hAnsi="Garamond" w:cs="Arial"/>
                <w:noProof/>
                <w:color w:val="E7E6E6" w:themeColor="background2"/>
                <w:sz w:val="18"/>
                <w:szCs w:val="18"/>
              </w:rPr>
            </w:pPr>
            <w:r w:rsidRPr="00BC6F45">
              <w:rPr>
                <w:rFonts w:ascii="Garamond" w:eastAsia="Cambria" w:hAnsi="Garamond" w:cs="Arial"/>
                <w:noProof/>
                <w:color w:val="E7E6E6" w:themeColor="background2"/>
                <w:sz w:val="18"/>
                <w:szCs w:val="18"/>
              </w:rPr>
              <w:t>Di</w:t>
            </w:r>
            <w:r w:rsidRPr="00BC6F45">
              <w:rPr>
                <w:rFonts w:ascii="Garamond" w:eastAsia="Cambria" w:hAnsi="Garamond" w:cs="Arial"/>
                <w:noProof/>
                <w:color w:val="E7E6E6" w:themeColor="background2"/>
                <w:sz w:val="18"/>
                <w:szCs w:val="18"/>
              </w:rPr>
              <w:t>scuss academic medical centers' historical and ongoing role in creating and maintaining systems that contribute to health inequities</w:t>
            </w:r>
          </w:p>
          <w:p w14:paraId="7A38B865" w14:textId="6CE4CD91" w:rsidR="00BC6F45" w:rsidRPr="00BC6F45" w:rsidRDefault="00BC6F45" w:rsidP="00BC6F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eastAsia="Cambria" w:hAnsi="Garamond" w:cs="Arial"/>
                <w:noProof/>
                <w:color w:val="E7E6E6" w:themeColor="background2"/>
                <w:sz w:val="18"/>
                <w:szCs w:val="18"/>
              </w:rPr>
            </w:pPr>
            <w:r w:rsidRPr="00BC6F45">
              <w:rPr>
                <w:rFonts w:ascii="Garamond" w:eastAsia="Cambria" w:hAnsi="Garamond" w:cs="Arial"/>
                <w:noProof/>
                <w:color w:val="E7E6E6" w:themeColor="background2"/>
                <w:sz w:val="18"/>
                <w:szCs w:val="18"/>
              </w:rPr>
              <w:t>Describe the role of collecting and disaggregating data by sociodemographic factors in identifying and addressing inequitites in health</w:t>
            </w:r>
          </w:p>
          <w:p w14:paraId="63872E3F" w14:textId="1AAA4EE3" w:rsidR="00091106" w:rsidRPr="00BC6F45" w:rsidRDefault="00BC6F45" w:rsidP="00BC6F4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eastAsia="Cambria" w:hAnsi="Garamond" w:cs="Arial"/>
                <w:noProof/>
                <w:color w:val="E7E6E6" w:themeColor="background2"/>
                <w:sz w:val="18"/>
                <w:szCs w:val="18"/>
              </w:rPr>
            </w:pPr>
            <w:r w:rsidRPr="00BC6F45">
              <w:rPr>
                <w:rFonts w:ascii="Garamond" w:eastAsia="Cambria" w:hAnsi="Garamond" w:cs="Arial"/>
                <w:noProof/>
                <w:color w:val="E7E6E6" w:themeColor="background2"/>
                <w:sz w:val="18"/>
                <w:szCs w:val="18"/>
              </w:rPr>
              <w:t>Explain the importance of health systems' leadership accountability in creating and integrating equitable and inclusive policies and initiatives to acheive health equity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BC6F45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198943E6" w:rsidR="00BC6F45" w:rsidRPr="00BC6F45" w:rsidRDefault="00BC6F45" w:rsidP="00BC6F45">
            <w:pPr>
              <w:jc w:val="center"/>
              <w:rPr>
                <w:rFonts w:ascii="Garamond" w:hAnsi="Garamond"/>
                <w:bCs/>
                <w:sz w:val="15"/>
                <w:szCs w:val="15"/>
              </w:rPr>
            </w:pPr>
            <w:r w:rsidRPr="00BC6F45">
              <w:rPr>
                <w:rFonts w:ascii="Garamond" w:hAnsi="Garamond"/>
                <w:sz w:val="15"/>
                <w:szCs w:val="15"/>
              </w:rPr>
              <w:t>Consuelo H. Wilkins,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5B288614" w:rsidR="00BC6F45" w:rsidRPr="00BC6F45" w:rsidRDefault="00BC6F45" w:rsidP="00BC6F45">
            <w:pPr>
              <w:jc w:val="center"/>
              <w:rPr>
                <w:rFonts w:ascii="Garamond" w:hAnsi="Garamond"/>
                <w:bCs/>
                <w:sz w:val="15"/>
                <w:szCs w:val="15"/>
              </w:rPr>
            </w:pPr>
            <w:r w:rsidRPr="00BC6F45">
              <w:rPr>
                <w:rFonts w:ascii="Garamond" w:hAnsi="Garamond"/>
                <w:sz w:val="15"/>
                <w:szCs w:val="15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3CAC8F7F" w:rsidR="00BC6F45" w:rsidRPr="00BC6F45" w:rsidRDefault="00BC6F45" w:rsidP="00BC6F45">
            <w:pPr>
              <w:jc w:val="center"/>
              <w:rPr>
                <w:rFonts w:ascii="Garamond" w:hAnsi="Garamond"/>
                <w:bCs/>
                <w:sz w:val="15"/>
                <w:szCs w:val="15"/>
              </w:rPr>
            </w:pPr>
            <w:r w:rsidRPr="00BC6F45">
              <w:rPr>
                <w:rFonts w:ascii="Garamond" w:hAnsi="Garamond"/>
                <w:sz w:val="15"/>
                <w:szCs w:val="15"/>
              </w:rPr>
              <w:t>Nothing to disclose - 09/27/2022</w:t>
            </w: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DFE7BF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BE72AF3" w14:textId="18A6184F" w:rsidR="0043024C" w:rsidRPr="00BC6F45" w:rsidRDefault="00091106" w:rsidP="00BC6F45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5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43024C" w:rsidRPr="00BC6F45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A3DF" w14:textId="77777777" w:rsidR="006718AF" w:rsidRDefault="006718AF">
      <w:r>
        <w:separator/>
      </w:r>
    </w:p>
  </w:endnote>
  <w:endnote w:type="continuationSeparator" w:id="0">
    <w:p w14:paraId="40628927" w14:textId="77777777" w:rsidR="006718AF" w:rsidRDefault="0067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8F17" w14:textId="77777777" w:rsidR="006718AF" w:rsidRDefault="006718AF">
      <w:r>
        <w:separator/>
      </w:r>
    </w:p>
  </w:footnote>
  <w:footnote w:type="continuationSeparator" w:id="0">
    <w:p w14:paraId="1EAC33D1" w14:textId="77777777" w:rsidR="006718AF" w:rsidRDefault="0067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13742"/>
    <w:multiLevelType w:val="hybridMultilevel"/>
    <w:tmpl w:val="C74C2C90"/>
    <w:lvl w:ilvl="0" w:tplc="6B5AC55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E56AB"/>
    <w:rsid w:val="001F5299"/>
    <w:rsid w:val="00350B09"/>
    <w:rsid w:val="003D2111"/>
    <w:rsid w:val="003D4FF8"/>
    <w:rsid w:val="00416E12"/>
    <w:rsid w:val="0043024C"/>
    <w:rsid w:val="00466E0C"/>
    <w:rsid w:val="00507134"/>
    <w:rsid w:val="0053731E"/>
    <w:rsid w:val="00627A8F"/>
    <w:rsid w:val="00666190"/>
    <w:rsid w:val="006718AF"/>
    <w:rsid w:val="00695954"/>
    <w:rsid w:val="006C34BC"/>
    <w:rsid w:val="006D17A9"/>
    <w:rsid w:val="007C73F5"/>
    <w:rsid w:val="00800E92"/>
    <w:rsid w:val="0084276D"/>
    <w:rsid w:val="00863F19"/>
    <w:rsid w:val="008F2009"/>
    <w:rsid w:val="00900898"/>
    <w:rsid w:val="0096202B"/>
    <w:rsid w:val="009C034E"/>
    <w:rsid w:val="00A31F5E"/>
    <w:rsid w:val="00A87E2D"/>
    <w:rsid w:val="00BA3D06"/>
    <w:rsid w:val="00BC6F45"/>
    <w:rsid w:val="00C45E3A"/>
    <w:rsid w:val="00CD16E1"/>
    <w:rsid w:val="00EC3A7D"/>
    <w:rsid w:val="00ED1309"/>
    <w:rsid w:val="00ED3AF7"/>
    <w:rsid w:val="00F245D9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F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6F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le.zoom.us/j/944635254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3</cp:revision>
  <cp:lastPrinted>2021-08-18T18:25:00Z</cp:lastPrinted>
  <dcterms:created xsi:type="dcterms:W3CDTF">2022-09-27T22:21:00Z</dcterms:created>
  <dcterms:modified xsi:type="dcterms:W3CDTF">2022-09-27T22:25:00Z</dcterms:modified>
</cp:coreProperties>
</file>