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BC18" w14:textId="77777777" w:rsidR="000A4A5D" w:rsidRDefault="008C375D" w:rsidP="00654C31">
      <w:pPr>
        <w:tabs>
          <w:tab w:val="right" w:pos="9360"/>
        </w:tabs>
      </w:pPr>
      <w:r>
        <w:tab/>
      </w:r>
    </w:p>
    <w:p w14:paraId="360DB80A" w14:textId="77777777" w:rsidR="000A4A5D" w:rsidRDefault="003E6563"/>
    <w:p w14:paraId="6A11C1A9" w14:textId="03EF6EF2" w:rsidR="000D2BA9" w:rsidRPr="00352C27" w:rsidRDefault="008C375D" w:rsidP="00352C27">
      <w:pPr>
        <w:pStyle w:val="granted"/>
        <w:spacing w:before="0" w:beforeAutospacing="0"/>
        <w:rPr>
          <w:rFonts w:ascii="Arial" w:hAnsi="Arial" w:cs="Arial"/>
          <w:color w:val="auto"/>
          <w:sz w:val="20"/>
          <w:szCs w:val="20"/>
        </w:rPr>
      </w:pPr>
      <w:r w:rsidRPr="008438EA">
        <w:rPr>
          <w:rFonts w:ascii="Arial" w:hAnsi="Arial" w:cs="Arial"/>
          <w:color w:val="auto"/>
          <w:sz w:val="20"/>
          <w:szCs w:val="20"/>
        </w:rPr>
        <w:t xml:space="preserve">Presented by: </w:t>
      </w:r>
      <w:r w:rsidR="00352C27">
        <w:rPr>
          <w:rFonts w:ascii="Arial" w:hAnsi="Arial" w:cs="Arial"/>
          <w:color w:val="auto"/>
          <w:sz w:val="20"/>
          <w:szCs w:val="20"/>
        </w:rPr>
        <w:t>Genetics</w:t>
      </w:r>
    </w:p>
    <w:p w14:paraId="463F6AC1" w14:textId="77777777" w:rsidR="00164471" w:rsidRPr="000D2BA9" w:rsidRDefault="008C375D" w:rsidP="00512139">
      <w:pPr>
        <w:spacing w:after="200"/>
        <w:jc w:val="center"/>
        <w:rPr>
          <w:rFonts w:ascii="Georgia" w:eastAsia="Cambria" w:hAnsi="Georgia"/>
          <w:b/>
          <w:bCs/>
          <w:noProof/>
          <w:color w:val="0078BF"/>
          <w:sz w:val="28"/>
          <w:szCs w:val="28"/>
        </w:rPr>
      </w:pPr>
      <w:r w:rsidRPr="000D2BA9">
        <w:rPr>
          <w:rFonts w:ascii="Georgia" w:eastAsia="Cambria" w:hAnsi="Georgia"/>
          <w:b/>
          <w:bCs/>
          <w:noProof/>
          <w:color w:val="0078BF"/>
          <w:sz w:val="28"/>
          <w:szCs w:val="28"/>
        </w:rPr>
        <w:t xml:space="preserve">Molecular therapy of neurogenetic disorders Opportunities and Challenges. </w:t>
      </w:r>
    </w:p>
    <w:p w14:paraId="09EF3958" w14:textId="2F4D7AFE" w:rsidR="00C86889" w:rsidRPr="00CC0ABE" w:rsidRDefault="008C375D" w:rsidP="00512139">
      <w:pPr>
        <w:spacing w:after="200"/>
        <w:jc w:val="center"/>
        <w:rPr>
          <w:rFonts w:ascii="Arial" w:eastAsia="Cambria" w:hAnsi="Arial"/>
          <w:noProof/>
          <w:sz w:val="22"/>
          <w:szCs w:val="22"/>
        </w:rPr>
      </w:pPr>
      <w:bookmarkStart w:id="0" w:name="_Hlk76632197"/>
      <w:r w:rsidRPr="00CC0ABE">
        <w:rPr>
          <w:rFonts w:ascii="Arial" w:eastAsia="Cambria" w:hAnsi="Arial"/>
          <w:noProof/>
          <w:sz w:val="22"/>
          <w:szCs w:val="22"/>
        </w:rPr>
        <w:t>9/27/2022 10:15:00 AM</w:t>
      </w:r>
      <w:bookmarkEnd w:id="0"/>
      <w:r w:rsidR="00F160DB">
        <w:rPr>
          <w:rFonts w:ascii="Arial" w:eastAsia="Cambria" w:hAnsi="Arial"/>
          <w:noProof/>
          <w:sz w:val="22"/>
          <w:szCs w:val="22"/>
        </w:rPr>
        <w:t xml:space="preserve"> </w:t>
      </w:r>
      <w:r w:rsidRPr="00CC0ABE">
        <w:rPr>
          <w:rFonts w:ascii="Symbol" w:eastAsia="Cambria" w:hAnsi="Symbol"/>
          <w:noProof/>
          <w:sz w:val="22"/>
          <w:szCs w:val="22"/>
        </w:rPr>
        <w:sym w:font="Symbol" w:char="F02D"/>
      </w:r>
      <w:r w:rsidR="00F160DB">
        <w:rPr>
          <w:rFonts w:ascii="Arial" w:eastAsia="Cambria" w:hAnsi="Arial"/>
          <w:noProof/>
          <w:sz w:val="22"/>
          <w:szCs w:val="22"/>
        </w:rPr>
        <w:t xml:space="preserve"> </w:t>
      </w:r>
      <w:r w:rsidRPr="00CC0ABE">
        <w:rPr>
          <w:rFonts w:ascii="Arial" w:eastAsia="Cambria" w:hAnsi="Arial"/>
          <w:noProof/>
          <w:sz w:val="22"/>
          <w:szCs w:val="22"/>
        </w:rPr>
        <w:t xml:space="preserve">11:15:00 AM </w:t>
      </w:r>
      <w:r w:rsidRPr="00CC0ABE">
        <w:rPr>
          <w:rFonts w:ascii="Arial" w:eastAsia="Cambria" w:hAnsi="Arial"/>
          <w:noProof/>
          <w:color w:val="0078BF"/>
          <w:sz w:val="22"/>
          <w:szCs w:val="22"/>
        </w:rPr>
        <w:t>|</w:t>
      </w:r>
      <w:r w:rsidRPr="00CC0ABE">
        <w:rPr>
          <w:rFonts w:ascii="Arial" w:eastAsia="Cambria" w:hAnsi="Arial"/>
          <w:noProof/>
          <w:sz w:val="22"/>
          <w:szCs w:val="22"/>
        </w:rPr>
        <w:t xml:space="preserve"> Medical Campus</w:t>
      </w:r>
    </w:p>
    <w:p w14:paraId="3977A688" w14:textId="77777777" w:rsidR="00C86889" w:rsidRPr="00AC4DCE" w:rsidRDefault="008C375D" w:rsidP="00512139">
      <w:pPr>
        <w:spacing w:after="200"/>
        <w:jc w:val="center"/>
        <w:rPr>
          <w:rFonts w:ascii="Arial" w:eastAsia="Cambria" w:hAnsi="Arial" w:cs="Arial"/>
          <w:noProof/>
          <w:color w:val="000000"/>
          <w:sz w:val="22"/>
          <w:szCs w:val="22"/>
        </w:rPr>
      </w:pPr>
      <w:r>
        <w:t>Participants will learn the latest clinical and molecular advances in human genetics. The participants will learn to recognize abnormal molecular, cytogenetics and biochemical laboratory test results. The participant will learn the clinical management of biochemical and storage disorders. The participant will recognize key dysmorphic features that define individual syndromes.</w:t>
      </w:r>
    </w:p>
    <w:p w14:paraId="1523F511" w14:textId="48D0FF06" w:rsidR="00F160DB" w:rsidRDefault="008C375D" w:rsidP="00F160DB">
      <w:pPr>
        <w:spacing w:after="200"/>
        <w:jc w:val="center"/>
        <w:rPr>
          <w:rFonts w:ascii="Arial" w:eastAsia="Cambria" w:hAnsi="Arial" w:cs="Arial"/>
          <w:b/>
          <w:bCs/>
          <w:iCs/>
          <w:noProof/>
          <w:sz w:val="22"/>
          <w:szCs w:val="22"/>
        </w:rPr>
      </w:pPr>
      <w:r w:rsidRPr="00AC4DCE">
        <w:rPr>
          <w:rFonts w:ascii="Arial" w:eastAsia="Cambria" w:hAnsi="Arial" w:cs="Arial"/>
          <w:b/>
          <w:bCs/>
          <w:iCs/>
          <w:sz w:val="22"/>
          <w:szCs w:val="22"/>
        </w:rPr>
        <w:t xml:space="preserve">Texting code for today’s session: </w:t>
      </w:r>
      <w:r>
        <w:rPr>
          <w:rFonts w:ascii="Arial" w:eastAsia="Cambria" w:hAnsi="Arial" w:cs="Arial"/>
          <w:b/>
          <w:bCs/>
          <w:iCs/>
          <w:noProof/>
          <w:sz w:val="22"/>
          <w:szCs w:val="22"/>
        </w:rPr>
        <w:t>34313</w:t>
      </w:r>
    </w:p>
    <w:p w14:paraId="4C039AF1" w14:textId="133615F4" w:rsidR="00F160DB" w:rsidRPr="00352C27" w:rsidRDefault="00352C27" w:rsidP="00F160DB">
      <w:pPr>
        <w:jc w:val="center"/>
        <w:rPr>
          <w:rStyle w:val="Hyperlink"/>
          <w:rFonts w:asciiTheme="minorHAnsi" w:hAnsiTheme="minorHAnsi" w:cstheme="minorHAnsi"/>
        </w:rPr>
      </w:pPr>
      <w:r>
        <w:rPr>
          <w:rFonts w:asciiTheme="minorHAnsi" w:hAnsiTheme="minorHAnsi" w:cstheme="minorHAnsi"/>
          <w:sz w:val="36"/>
          <w:szCs w:val="36"/>
        </w:rPr>
        <w:fldChar w:fldCharType="begin"/>
      </w:r>
      <w:r>
        <w:rPr>
          <w:rFonts w:asciiTheme="minorHAnsi" w:hAnsiTheme="minorHAnsi" w:cstheme="minorHAnsi"/>
          <w:sz w:val="36"/>
          <w:szCs w:val="36"/>
        </w:rPr>
        <w:instrText xml:space="preserve"> HYPERLINK "https://yale.zoom.us/j/92712298673?pwd=OGt2MllMaFJJcFNWRzltZkhRb0d3Zz09" </w:instrText>
      </w:r>
      <w:r>
        <w:rPr>
          <w:rFonts w:asciiTheme="minorHAnsi" w:hAnsiTheme="minorHAnsi" w:cstheme="minorHAnsi"/>
          <w:sz w:val="36"/>
          <w:szCs w:val="36"/>
        </w:rPr>
        <w:fldChar w:fldCharType="separate"/>
      </w:r>
      <w:r w:rsidR="00F160DB" w:rsidRPr="00352C27">
        <w:rPr>
          <w:rStyle w:val="Hyperlink"/>
          <w:rFonts w:asciiTheme="minorHAnsi" w:hAnsiTheme="minorHAnsi" w:cstheme="minorHAnsi"/>
          <w:sz w:val="36"/>
          <w:szCs w:val="36"/>
        </w:rPr>
        <w:t>Zoom Link</w:t>
      </w:r>
    </w:p>
    <w:p w14:paraId="415BE379" w14:textId="286F1BA4" w:rsidR="00F160DB" w:rsidRDefault="00352C27" w:rsidP="00F160DB">
      <w:pPr>
        <w:jc w:val="center"/>
      </w:pPr>
      <w:r>
        <w:rPr>
          <w:rFonts w:asciiTheme="minorHAnsi" w:hAnsiTheme="minorHAnsi" w:cstheme="minorHAnsi"/>
          <w:sz w:val="36"/>
          <w:szCs w:val="36"/>
        </w:rPr>
        <w:fldChar w:fldCharType="end"/>
      </w:r>
      <w:r w:rsidR="00F160DB">
        <w:t xml:space="preserve">Zoom passcode: </w:t>
      </w:r>
      <w:r>
        <w:t>080122</w:t>
      </w:r>
    </w:p>
    <w:p w14:paraId="330B2BD4" w14:textId="77777777" w:rsidR="00527E2C" w:rsidRPr="009C1A30" w:rsidRDefault="003E6563" w:rsidP="00352C27">
      <w:pPr>
        <w:spacing w:after="200"/>
        <w:rPr>
          <w:rFonts w:ascii="Arial" w:eastAsia="Cambria" w:hAnsi="Arial" w:cs="Arial"/>
          <w:b/>
          <w:bCs/>
          <w:noProof/>
          <w:sz w:val="22"/>
          <w:szCs w:val="22"/>
        </w:rPr>
      </w:pPr>
    </w:p>
    <w:p w14:paraId="4E9D2BF2" w14:textId="77777777" w:rsidR="00527E2C" w:rsidRPr="009C1A30" w:rsidRDefault="008C375D" w:rsidP="00527E2C">
      <w:pPr>
        <w:spacing w:after="200"/>
        <w:rPr>
          <w:rFonts w:ascii="Arial" w:eastAsia="Cambria" w:hAnsi="Arial" w:cs="Arial"/>
          <w:noProof/>
          <w:sz w:val="22"/>
          <w:szCs w:val="22"/>
        </w:rPr>
      </w:pPr>
      <w:r w:rsidRPr="00164471">
        <w:rPr>
          <w:rFonts w:ascii="Arial" w:eastAsia="Cambria" w:hAnsi="Arial" w:cs="Arial"/>
          <w:b/>
          <w:bCs/>
          <w:sz w:val="22"/>
          <w:szCs w:val="22"/>
        </w:rPr>
        <w:t xml:space="preserve">Faculty: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65097E" w14:paraId="1F9CF0F5" w14:textId="77777777">
        <w:trPr>
          <w:tblCellSpacing w:w="15" w:type="dxa"/>
        </w:trPr>
        <w:tc>
          <w:tcPr>
            <w:tcW w:w="0" w:type="auto"/>
            <w:vAlign w:val="center"/>
          </w:tcPr>
          <w:p w14:paraId="7EABCB23" w14:textId="77777777" w:rsidR="0065097E" w:rsidRDefault="008C375D">
            <w:r>
              <w:t>Yong-hui Jiang, MD/DO</w:t>
            </w:r>
          </w:p>
        </w:tc>
      </w:tr>
      <w:tr w:rsidR="0065097E" w14:paraId="13539A0C" w14:textId="77777777">
        <w:trPr>
          <w:tblCellSpacing w:w="15" w:type="dxa"/>
        </w:trPr>
        <w:tc>
          <w:tcPr>
            <w:tcW w:w="0" w:type="auto"/>
            <w:vAlign w:val="center"/>
          </w:tcPr>
          <w:p w14:paraId="62D4A890" w14:textId="77777777" w:rsidR="0065097E" w:rsidRDefault="008C375D">
            <w:r>
              <w:t>Professor</w:t>
            </w:r>
          </w:p>
        </w:tc>
      </w:tr>
      <w:tr w:rsidR="0065097E" w14:paraId="60703E1F" w14:textId="77777777">
        <w:trPr>
          <w:tblCellSpacing w:w="15" w:type="dxa"/>
        </w:trPr>
        <w:tc>
          <w:tcPr>
            <w:tcW w:w="0" w:type="auto"/>
            <w:vAlign w:val="center"/>
          </w:tcPr>
          <w:p w14:paraId="094969E5" w14:textId="77777777" w:rsidR="0065097E" w:rsidRDefault="008C375D">
            <w:r>
              <w:t xml:space="preserve">Yale University </w:t>
            </w:r>
          </w:p>
        </w:tc>
      </w:tr>
    </w:tbl>
    <w:p w14:paraId="1F618D4B" w14:textId="1E9F3F78" w:rsidR="008C6879" w:rsidRPr="008438EA" w:rsidRDefault="003E6563">
      <w:pPr>
        <w:spacing w:after="280" w:afterAutospacing="1"/>
        <w:rPr>
          <w:rFonts w:ascii="Arial" w:eastAsia="Cambria" w:hAnsi="Arial" w:cs="Arial"/>
          <w:b/>
          <w:bCs/>
          <w:sz w:val="22"/>
          <w:szCs w:val="22"/>
        </w:rPr>
        <w:sectPr w:rsidR="008C6879" w:rsidRPr="008438EA">
          <w:headerReference w:type="default" r:id="rId7"/>
          <w:pgSz w:w="12240" w:h="15840"/>
          <w:pgMar w:top="1440" w:right="1440" w:bottom="1440" w:left="1440" w:header="720" w:footer="720" w:gutter="0"/>
          <w:cols w:space="720"/>
          <w:docGrid w:linePitch="360"/>
        </w:sectPr>
      </w:pPr>
    </w:p>
    <w:tbl>
      <w:tblPr>
        <w:tblStyle w:val="ListTable5Dark-Accent31"/>
        <w:tblW w:w="9320" w:type="dxa"/>
        <w:tblLook w:val="04A0" w:firstRow="1" w:lastRow="0" w:firstColumn="1" w:lastColumn="0" w:noHBand="0" w:noVBand="1"/>
      </w:tblPr>
      <w:tblGrid>
        <w:gridCol w:w="9320"/>
      </w:tblGrid>
      <w:tr w:rsidR="0065097E" w14:paraId="141D8F2E" w14:textId="77777777" w:rsidTr="0065097E">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9320" w:type="dxa"/>
          </w:tcPr>
          <w:p w14:paraId="7C7639FA" w14:textId="77777777" w:rsidR="008F5709" w:rsidRPr="008438EA" w:rsidRDefault="008C375D" w:rsidP="008438EA">
            <w:pPr>
              <w:spacing w:before="120"/>
              <w:rPr>
                <w:rFonts w:ascii="Arial" w:eastAsia="Cambria" w:hAnsi="Arial" w:cs="Arial"/>
                <w:color w:val="FFFFFE" w:themeColor="background2"/>
              </w:rPr>
            </w:pPr>
            <w:r w:rsidRPr="008438EA">
              <w:rPr>
                <w:rFonts w:ascii="Arial" w:eastAsia="Cambria" w:hAnsi="Arial" w:cs="Arial"/>
                <w:color w:val="FFFFFE" w:themeColor="background2"/>
              </w:rPr>
              <w:t xml:space="preserve">Program </w:t>
            </w:r>
            <w:r>
              <w:rPr>
                <w:rFonts w:ascii="Arial" w:eastAsia="Cambria" w:hAnsi="Arial" w:cs="Arial"/>
                <w:color w:val="FFFFFE" w:themeColor="background2"/>
              </w:rPr>
              <w:t>Objective(s)</w:t>
            </w:r>
            <w:r w:rsidRPr="008438EA">
              <w:rPr>
                <w:rFonts w:ascii="Arial" w:eastAsia="Cambria" w:hAnsi="Arial" w:cs="Arial"/>
                <w:color w:val="FFFFFE" w:themeColor="background2"/>
              </w:rPr>
              <w:t xml:space="preserve">: </w:t>
            </w:r>
          </w:p>
          <w:p w14:paraId="5E9B33D0" w14:textId="77777777" w:rsidR="008F5709" w:rsidRDefault="008C375D" w:rsidP="008438EA">
            <w:pPr>
              <w:rPr>
                <w:rFonts w:ascii="Arial" w:eastAsia="Cambria" w:hAnsi="Arial" w:cs="Arial"/>
                <w:noProof/>
                <w:color w:val="FFFFFE" w:themeColor="background2"/>
              </w:rPr>
            </w:pPr>
            <w:r w:rsidRPr="008438EA">
              <w:rPr>
                <w:rFonts w:ascii="Arial" w:eastAsia="Cambria" w:hAnsi="Arial" w:cs="Arial"/>
                <w:b w:val="0"/>
                <w:bCs w:val="0"/>
                <w:noProof/>
                <w:color w:val="FFFFFE" w:themeColor="background2"/>
              </w:rPr>
              <w:t>1 Review</w:t>
            </w:r>
            <w:r w:rsidRPr="008438EA">
              <w:rPr>
                <w:rFonts w:ascii="Arial" w:eastAsia="Cambria" w:hAnsi="Arial" w:cs="Arial"/>
                <w:noProof/>
                <w:color w:val="FFFFFE" w:themeColor="background2"/>
              </w:rPr>
              <w:t xml:space="preserve">  the history of gene therapy for genetic diseases</w:t>
            </w:r>
          </w:p>
          <w:p w14:paraId="031FA67B" w14:textId="77777777" w:rsidR="0065097E" w:rsidRPr="008438EA" w:rsidRDefault="008C375D" w:rsidP="008438EA">
            <w:pPr>
              <w:rPr>
                <w:rFonts w:ascii="Arial" w:eastAsia="Cambria" w:hAnsi="Arial" w:cs="Arial"/>
                <w:noProof/>
                <w:color w:val="FFFFFE" w:themeColor="background2"/>
              </w:rPr>
            </w:pPr>
            <w:r w:rsidRPr="008438EA">
              <w:rPr>
                <w:rFonts w:ascii="Arial" w:eastAsia="Cambria" w:hAnsi="Arial" w:cs="Arial"/>
                <w:noProof/>
                <w:color w:val="FFFFFE" w:themeColor="background2"/>
              </w:rPr>
              <w:t xml:space="preserve">2 Discuss and review the current gene therpay landscape </w:t>
            </w:r>
          </w:p>
          <w:p w14:paraId="70427015" w14:textId="77777777" w:rsidR="008F5709" w:rsidRDefault="008C375D" w:rsidP="008438EA">
            <w:pPr>
              <w:rPr>
                <w:rFonts w:ascii="Arial" w:eastAsia="Cambria" w:hAnsi="Arial" w:cs="Arial"/>
                <w:noProof/>
                <w:color w:val="FFFFFE" w:themeColor="background2"/>
              </w:rPr>
            </w:pPr>
            <w:r w:rsidRPr="008438EA">
              <w:rPr>
                <w:rFonts w:ascii="Arial" w:eastAsia="Cambria" w:hAnsi="Arial" w:cs="Arial"/>
                <w:noProof/>
                <w:color w:val="FFFFFE" w:themeColor="background2"/>
              </w:rPr>
              <w:t xml:space="preserve">3 Discuss the pathway to develop the molecular therapy using Angelman syndrome as an example </w:t>
            </w:r>
          </w:p>
          <w:p w14:paraId="3FD2C6B3" w14:textId="77777777" w:rsidR="008438EA" w:rsidRPr="008438EA" w:rsidRDefault="003E6563" w:rsidP="008438EA">
            <w:pPr>
              <w:rPr>
                <w:rFonts w:ascii="Arial" w:eastAsia="Cambria" w:hAnsi="Arial"/>
                <w:color w:val="FFFFFE" w:themeColor="background2"/>
              </w:rPr>
            </w:pPr>
          </w:p>
        </w:tc>
      </w:tr>
      <w:tr w:rsidR="0065097E" w14:paraId="2B22843D" w14:textId="77777777" w:rsidTr="0065097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320" w:type="dxa"/>
          </w:tcPr>
          <w:p w14:paraId="4D0A9C7F" w14:textId="77777777" w:rsidR="008F5709" w:rsidRPr="008438EA" w:rsidRDefault="008C375D" w:rsidP="008F5709">
            <w:pPr>
              <w:spacing w:before="120" w:after="200"/>
              <w:rPr>
                <w:rFonts w:ascii="Arial" w:eastAsia="Cambria" w:hAnsi="Arial" w:cs="Arial"/>
                <w:color w:val="FFFFFE" w:themeColor="background2"/>
              </w:rPr>
            </w:pPr>
            <w:r w:rsidRPr="008438EA">
              <w:rPr>
                <w:rFonts w:ascii="Arial" w:eastAsia="Cambria" w:hAnsi="Arial" w:cs="Arial"/>
                <w:color w:val="FFFFFE" w:themeColor="background2"/>
              </w:rPr>
              <w:t xml:space="preserve">Target Audience: </w:t>
            </w:r>
            <w:r w:rsidRPr="008438EA">
              <w:rPr>
                <w:rFonts w:ascii="Arial" w:eastAsia="Cambria" w:hAnsi="Arial" w:cs="Arial"/>
                <w:b w:val="0"/>
                <w:bCs w:val="0"/>
                <w:noProof/>
                <w:color w:val="FFFFFE" w:themeColor="background2"/>
              </w:rPr>
              <w:t>Cardiovascular Disease</w:t>
            </w:r>
            <w:r w:rsidRPr="008438EA">
              <w:rPr>
                <w:rFonts w:ascii="Arial" w:eastAsia="Cambria" w:hAnsi="Arial" w:cs="Arial"/>
                <w:noProof/>
                <w:color w:val="FFFFFE" w:themeColor="background2"/>
              </w:rPr>
              <w:t>, Endocrinology, Gastroenterology, Internal Medicine, Neurology, Nutrition, Ob/Gyn, Oncology, Ophthalmology, Orthopedic Surgery, Pediatrics, Rheumatology, Urology, Multiple Specialties, Pathology, Otolaryngology, Orthopedic, Surgery / Transplant, Digestive Diseases, Vascular Medicine, Pulmonology, Hematology</w:t>
            </w:r>
          </w:p>
        </w:tc>
      </w:tr>
    </w:tbl>
    <w:p w14:paraId="65F27269" w14:textId="77777777" w:rsidR="00352C27" w:rsidRDefault="00352C27" w:rsidP="00352C27">
      <w:pPr>
        <w:spacing w:after="120"/>
        <w:rPr>
          <w:rFonts w:ascii="Arial" w:eastAsia="Cambria" w:hAnsi="Arial" w:cs="Arial"/>
          <w:i/>
          <w:sz w:val="16"/>
          <w:szCs w:val="16"/>
        </w:rPr>
      </w:pPr>
      <w:r>
        <w:rPr>
          <w:rFonts w:ascii="Arial" w:eastAsia="Cambria" w:hAnsi="Arial" w:cs="Arial"/>
          <w:i/>
          <w:sz w:val="16"/>
          <w:szCs w:val="16"/>
        </w:rPr>
        <w:t xml:space="preserve">Planners for this activity: </w:t>
      </w:r>
      <w:r w:rsidRPr="00887522">
        <w:rPr>
          <w:rFonts w:ascii="Arial" w:eastAsia="Cambria" w:hAnsi="Arial" w:cs="Arial"/>
          <w:i/>
          <w:sz w:val="16"/>
          <w:szCs w:val="16"/>
        </w:rPr>
        <w:t xml:space="preserve">Yong-hui Jiang, </w:t>
      </w:r>
      <w:proofErr w:type="gramStart"/>
      <w:r w:rsidRPr="00887522">
        <w:rPr>
          <w:rFonts w:ascii="Arial" w:eastAsia="Cambria" w:hAnsi="Arial" w:cs="Arial"/>
          <w:i/>
          <w:sz w:val="16"/>
          <w:szCs w:val="16"/>
        </w:rPr>
        <w:t>MD</w:t>
      </w:r>
      <w:proofErr w:type="gramEnd"/>
      <w:r w:rsidRPr="00887522">
        <w:rPr>
          <w:rFonts w:ascii="Arial" w:eastAsia="Cambria" w:hAnsi="Arial" w:cs="Arial"/>
          <w:i/>
          <w:sz w:val="16"/>
          <w:szCs w:val="16"/>
        </w:rPr>
        <w:t xml:space="preserve"> </w:t>
      </w:r>
      <w:r>
        <w:rPr>
          <w:rFonts w:ascii="Arial" w:eastAsia="Cambria" w:hAnsi="Arial" w:cs="Arial"/>
          <w:i/>
          <w:sz w:val="16"/>
          <w:szCs w:val="16"/>
        </w:rPr>
        <w:t>and Jennifer Essandoh</w:t>
      </w:r>
    </w:p>
    <w:p w14:paraId="6637D24D" w14:textId="23B222D8" w:rsidR="00CC0ABE" w:rsidRDefault="00352C27" w:rsidP="00C86889">
      <w:pPr>
        <w:spacing w:after="200"/>
        <w:rPr>
          <w:rFonts w:ascii="Arial" w:eastAsia="Cambria" w:hAnsi="Arial" w:cs="Arial"/>
          <w:i/>
          <w:sz w:val="16"/>
          <w:szCs w:val="16"/>
        </w:rPr>
      </w:pPr>
      <w:r>
        <w:rPr>
          <w:rFonts w:ascii="Arial" w:eastAsia="Cambria" w:hAnsi="Arial" w:cs="Arial"/>
          <w:i/>
          <w:sz w:val="16"/>
          <w:szCs w:val="16"/>
        </w:rPr>
        <w:t xml:space="preserve">Financial Disclosure Information: </w:t>
      </w:r>
      <w:r>
        <w:rPr>
          <w:rFonts w:ascii="Arial" w:eastAsia="Cambria" w:hAnsi="Arial" w:cs="Arial"/>
          <w:i/>
          <w:sz w:val="16"/>
          <w:szCs w:val="16"/>
        </w:rPr>
        <w:br/>
      </w:r>
      <w:r w:rsidRPr="00EC570A">
        <w:rPr>
          <w:rFonts w:ascii="Arial" w:eastAsia="Cambria" w:hAnsi="Arial" w:cs="Arial"/>
          <w:i/>
          <w:sz w:val="16"/>
          <w:szCs w:val="16"/>
        </w:rPr>
        <w:t>None of the faculty/planners for this educational activity have relevant financial relationship(s) to disclose with ineligible companies.</w:t>
      </w:r>
    </w:p>
    <w:p w14:paraId="068BD261" w14:textId="77777777" w:rsidR="00C86889" w:rsidRPr="00512139" w:rsidRDefault="008C375D" w:rsidP="00C86889">
      <w:pPr>
        <w:spacing w:after="200"/>
        <w:rPr>
          <w:rFonts w:ascii="Arial" w:eastAsia="Cambria" w:hAnsi="Arial" w:cs="Arial"/>
          <w:i/>
          <w:sz w:val="16"/>
          <w:szCs w:val="16"/>
        </w:rPr>
      </w:pPr>
      <w:r w:rsidRPr="00512139">
        <w:rPr>
          <w:rFonts w:ascii="Arial" w:eastAsia="Cambria" w:hAnsi="Arial" w:cs="Arial"/>
          <w:i/>
          <w:sz w:val="16"/>
          <w:szCs w:val="16"/>
        </w:rPr>
        <w:t>Accreditation Statement: Yale School of Medicine is accredited by the Accreditation Council for Continuing Medical Education (ACCME) to provide continuing medical education for physicians.</w:t>
      </w:r>
    </w:p>
    <w:p w14:paraId="3D129720" w14:textId="77777777" w:rsidR="00C86889" w:rsidRDefault="008C375D" w:rsidP="00C86889">
      <w:pPr>
        <w:spacing w:after="200"/>
        <w:rPr>
          <w:rFonts w:ascii="Arial" w:eastAsia="Cambria" w:hAnsi="Arial" w:cs="Arial"/>
          <w:i/>
          <w:sz w:val="16"/>
          <w:szCs w:val="16"/>
        </w:rPr>
      </w:pPr>
      <w:r w:rsidRPr="00512139">
        <w:rPr>
          <w:rFonts w:ascii="Arial" w:eastAsia="Cambria" w:hAnsi="Arial" w:cs="Arial"/>
          <w:i/>
          <w:sz w:val="16"/>
          <w:szCs w:val="16"/>
        </w:rPr>
        <w:t xml:space="preserve">Designation Statement: Yale School of Medicine designates this </w:t>
      </w:r>
      <w:r>
        <w:rPr>
          <w:rFonts w:ascii="Arial" w:eastAsia="Cambria" w:hAnsi="Arial" w:cs="Arial"/>
          <w:i/>
          <w:noProof/>
          <w:sz w:val="16"/>
          <w:szCs w:val="16"/>
        </w:rPr>
        <w:t>Live Activity</w:t>
      </w:r>
      <w:r w:rsidRPr="00512139">
        <w:rPr>
          <w:rFonts w:ascii="Arial" w:eastAsia="Cambria" w:hAnsi="Arial" w:cs="Arial"/>
          <w:i/>
          <w:sz w:val="16"/>
          <w:szCs w:val="16"/>
        </w:rPr>
        <w:t xml:space="preserve"> for a maximum of </w:t>
      </w:r>
      <w:r>
        <w:rPr>
          <w:rFonts w:ascii="Arial" w:eastAsia="Cambria" w:hAnsi="Arial" w:cs="Arial"/>
          <w:b/>
          <w:bCs/>
          <w:i/>
          <w:noProof/>
          <w:color w:val="0078BF"/>
          <w:sz w:val="16"/>
          <w:szCs w:val="16"/>
        </w:rPr>
        <w:t>1.00</w:t>
      </w:r>
      <w:r w:rsidRPr="006F195F">
        <w:rPr>
          <w:rFonts w:ascii="Arial" w:eastAsia="Cambria" w:hAnsi="Arial" w:cs="Arial"/>
          <w:b/>
          <w:bCs/>
          <w:i/>
          <w:color w:val="0078BF"/>
          <w:sz w:val="16"/>
          <w:szCs w:val="16"/>
        </w:rPr>
        <w:t xml:space="preserve"> AMA PRA Category 1 Credit</w:t>
      </w:r>
      <w:r>
        <w:rPr>
          <w:rFonts w:ascii="Arial" w:eastAsia="Cambria" w:hAnsi="Arial" w:cs="Arial"/>
          <w:b/>
          <w:bCs/>
          <w:i/>
          <w:color w:val="0078BF"/>
          <w:sz w:val="16"/>
          <w:szCs w:val="16"/>
        </w:rPr>
        <w:t>(s)™</w:t>
      </w:r>
      <w:r w:rsidRPr="006F195F">
        <w:rPr>
          <w:rFonts w:ascii="Arial" w:eastAsia="Cambria" w:hAnsi="Arial" w:cs="Arial"/>
          <w:b/>
          <w:bCs/>
          <w:i/>
          <w:color w:val="0078BF"/>
          <w:sz w:val="16"/>
          <w:szCs w:val="16"/>
        </w:rPr>
        <w:t>.</w:t>
      </w:r>
      <w:r w:rsidRPr="006F195F">
        <w:rPr>
          <w:rFonts w:ascii="Arial" w:eastAsia="Cambria" w:hAnsi="Arial" w:cs="Arial"/>
          <w:i/>
          <w:color w:val="0078BF"/>
          <w:sz w:val="16"/>
          <w:szCs w:val="16"/>
        </w:rPr>
        <w:t xml:space="preserve"> </w:t>
      </w:r>
      <w:r w:rsidRPr="00512139">
        <w:rPr>
          <w:rFonts w:ascii="Arial" w:eastAsia="Cambria" w:hAnsi="Arial" w:cs="Arial"/>
          <w:i/>
          <w:sz w:val="16"/>
          <w:szCs w:val="16"/>
        </w:rPr>
        <w:t>Physicians should only claim credit commensurate with the extent of their participation in the activity.</w:t>
      </w:r>
    </w:p>
    <w:p w14:paraId="0D3C6FD5" w14:textId="77777777" w:rsidR="008C6879" w:rsidRPr="008438EA" w:rsidRDefault="008C375D" w:rsidP="00C86889">
      <w:pPr>
        <w:spacing w:after="200"/>
        <w:rPr>
          <w:rFonts w:ascii="Arial" w:eastAsia="Cambria" w:hAnsi="Arial" w:cs="Arial"/>
          <w:i/>
          <w:sz w:val="14"/>
          <w:szCs w:val="14"/>
        </w:rPr>
      </w:pPr>
      <w:bookmarkStart w:id="1" w:name="_Hlk83812249"/>
      <w:r w:rsidRPr="008438EA">
        <w:rPr>
          <w:rFonts w:ascii="Arial" w:eastAsia="Cambria" w:hAnsi="Arial" w:cs="Arial"/>
          <w:i/>
          <w:sz w:val="14"/>
          <w:szCs w:val="14"/>
        </w:rPr>
        <w:t>Mitigation of Financial Relationships Statement:</w:t>
      </w:r>
      <w:r w:rsidRPr="008438EA">
        <w:rPr>
          <w:sz w:val="18"/>
          <w:szCs w:val="18"/>
        </w:rPr>
        <w:t xml:space="preserve"> </w:t>
      </w:r>
      <w:r w:rsidRPr="008438EA">
        <w:rPr>
          <w:rFonts w:ascii="Arial" w:eastAsia="Cambria" w:hAnsi="Arial" w:cs="Arial"/>
          <w:i/>
          <w:sz w:val="14"/>
          <w:szCs w:val="14"/>
        </w:rPr>
        <w:t>Yale CME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bookmarkEnd w:id="1"/>
    <w:p w14:paraId="6FE67194" w14:textId="4F77D85A" w:rsidR="00B85050" w:rsidRPr="00352C27" w:rsidRDefault="008C375D" w:rsidP="00352C27">
      <w:pPr>
        <w:spacing w:after="200"/>
        <w:rPr>
          <w:rFonts w:ascii="Arial" w:eastAsia="Cambria" w:hAnsi="Arial" w:cs="Arial"/>
          <w:b/>
          <w:bCs/>
          <w:color w:val="000000"/>
          <w:sz w:val="22"/>
          <w:szCs w:val="22"/>
        </w:rPr>
      </w:pPr>
      <w:r w:rsidRPr="00CC0ABE">
        <w:rPr>
          <w:rFonts w:ascii="Arial" w:eastAsia="Cambria" w:hAnsi="Arial" w:cs="Arial"/>
          <w:b/>
          <w:bCs/>
          <w:sz w:val="22"/>
          <w:szCs w:val="22"/>
        </w:rPr>
        <w:t xml:space="preserve">For questions, email </w:t>
      </w:r>
      <w:r w:rsidR="00352C27">
        <w:rPr>
          <w:rFonts w:ascii="Arial" w:eastAsia="Cambria" w:hAnsi="Arial" w:cs="Arial"/>
          <w:b/>
          <w:bCs/>
          <w:noProof/>
          <w:sz w:val="22"/>
          <w:szCs w:val="22"/>
        </w:rPr>
        <w:t>jennifer.essandoh</w:t>
      </w:r>
      <w:r w:rsidRPr="00CC0ABE">
        <w:rPr>
          <w:rFonts w:ascii="Arial" w:eastAsia="Cambria" w:hAnsi="Arial" w:cs="Arial"/>
          <w:b/>
          <w:bCs/>
          <w:noProof/>
          <w:sz w:val="22"/>
          <w:szCs w:val="22"/>
        </w:rPr>
        <w:t>@yale.edu</w:t>
      </w:r>
    </w:p>
    <w:sectPr w:rsidR="00B85050" w:rsidRPr="00352C27"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6568" w14:textId="77777777" w:rsidR="003B7C57" w:rsidRDefault="008C375D">
      <w:r>
        <w:separator/>
      </w:r>
    </w:p>
  </w:endnote>
  <w:endnote w:type="continuationSeparator" w:id="0">
    <w:p w14:paraId="706B129F" w14:textId="77777777" w:rsidR="003B7C57" w:rsidRDefault="008C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28E8" w14:textId="77777777" w:rsidR="003B7C57" w:rsidRDefault="008C375D">
      <w:r>
        <w:separator/>
      </w:r>
    </w:p>
  </w:footnote>
  <w:footnote w:type="continuationSeparator" w:id="0">
    <w:p w14:paraId="4BF001C2" w14:textId="77777777" w:rsidR="003B7C57" w:rsidRDefault="008C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221A" w14:textId="77777777" w:rsidR="00525504" w:rsidRDefault="008C375D">
    <w:pPr>
      <w:pStyle w:val="Header"/>
    </w:pPr>
    <w:r>
      <w:rPr>
        <w:noProof/>
      </w:rPr>
      <w:drawing>
        <wp:anchor distT="0" distB="0" distL="114300" distR="114300" simplePos="0" relativeHeight="251658240" behindDoc="1" locked="1" layoutInCell="1" allowOverlap="1" wp14:anchorId="771A284B" wp14:editId="4188BC88">
          <wp:simplePos x="0" y="0"/>
          <wp:positionH relativeFrom="margin">
            <wp:posOffset>-1009650</wp:posOffset>
          </wp:positionH>
          <wp:positionV relativeFrom="page">
            <wp:posOffset>-222885</wp:posOffset>
          </wp:positionV>
          <wp:extent cx="7948930" cy="10286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7E"/>
    <w:rsid w:val="00352C27"/>
    <w:rsid w:val="003B7C57"/>
    <w:rsid w:val="003E6563"/>
    <w:rsid w:val="0065097E"/>
    <w:rsid w:val="008A5836"/>
    <w:rsid w:val="008C375D"/>
    <w:rsid w:val="00F1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422E"/>
  <w15:docId w15:val="{BB5E73DC-4B1F-4CC6-ADB8-9A04360E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C8C8C7" w:themeColor="background1"/>
    </w:rPr>
    <w:tblPr>
      <w:tblStyleRowBandSize w:val="1"/>
      <w:tblStyleColBandSize w:val="1"/>
      <w:tblBorders>
        <w:top w:val="single" w:sz="24" w:space="0" w:color="C4D468" w:themeColor="accent5"/>
        <w:left w:val="single" w:sz="24" w:space="0" w:color="C4D468" w:themeColor="accent5"/>
        <w:bottom w:val="single" w:sz="24" w:space="0" w:color="C4D468" w:themeColor="accent5"/>
        <w:right w:val="single" w:sz="24" w:space="0" w:color="C4D468" w:themeColor="accent5"/>
      </w:tblBorders>
    </w:tblPr>
    <w:tcPr>
      <w:shd w:val="clear" w:color="auto" w:fill="C4D468" w:themeFill="accent5"/>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character" w:styleId="Strong">
    <w:name w:val="Strong"/>
    <w:basedOn w:val="DefaultParagraphFont"/>
    <w:uiPriority w:val="22"/>
    <w:qFormat/>
    <w:rsid w:val="007E125F"/>
    <w:rPr>
      <w:b/>
      <w:bCs/>
    </w:rPr>
  </w:style>
  <w:style w:type="table" w:customStyle="1" w:styleId="ListTable5Dark-Accent31">
    <w:name w:val="List Table 5 Dark - Accent 31"/>
    <w:basedOn w:val="TableNormal"/>
    <w:uiPriority w:val="50"/>
    <w:rsid w:val="008438EA"/>
    <w:pPr>
      <w:spacing w:after="0" w:line="240" w:lineRule="auto"/>
    </w:pPr>
    <w:rPr>
      <w:color w:val="C8C8C7" w:themeColor="background1"/>
    </w:rPr>
    <w:tblPr>
      <w:tblStyleRowBandSize w:val="1"/>
      <w:tblStyleColBandSize w:val="1"/>
      <w:tblBorders>
        <w:top w:val="single" w:sz="24" w:space="0" w:color="4AA7D5" w:themeColor="accent3"/>
        <w:left w:val="single" w:sz="24" w:space="0" w:color="4AA7D5" w:themeColor="accent3"/>
        <w:bottom w:val="single" w:sz="24" w:space="0" w:color="4AA7D5" w:themeColor="accent3"/>
        <w:right w:val="single" w:sz="24" w:space="0" w:color="4AA7D5" w:themeColor="accent3"/>
      </w:tblBorders>
    </w:tblPr>
    <w:tcPr>
      <w:shd w:val="clear" w:color="auto" w:fill="4AA7D5" w:themeFill="accent3"/>
    </w:tcPr>
    <w:tblStylePr w:type="firstRow">
      <w:rPr>
        <w:b/>
        <w:bCs/>
      </w:rPr>
      <w:tblPr/>
      <w:tcPr>
        <w:tcBorders>
          <w:bottom w:val="single" w:sz="18" w:space="0" w:color="C8C8C7" w:themeColor="background1"/>
        </w:tcBorders>
      </w:tcPr>
    </w:tblStylePr>
    <w:tblStylePr w:type="lastRow">
      <w:rPr>
        <w:b/>
        <w:bCs/>
      </w:rPr>
      <w:tblPr/>
      <w:tcPr>
        <w:tcBorders>
          <w:top w:val="single" w:sz="4" w:space="0" w:color="C8C8C7" w:themeColor="background1"/>
        </w:tcBorders>
      </w:tcPr>
    </w:tblStylePr>
    <w:tblStylePr w:type="firstCol">
      <w:rPr>
        <w:b/>
        <w:bCs/>
      </w:rPr>
      <w:tblPr/>
      <w:tcPr>
        <w:tcBorders>
          <w:right w:val="single" w:sz="4" w:space="0" w:color="C8C8C7" w:themeColor="background1"/>
        </w:tcBorders>
      </w:tcPr>
    </w:tblStylePr>
    <w:tblStylePr w:type="lastCol">
      <w:rPr>
        <w:b/>
        <w:bCs/>
      </w:rPr>
      <w:tblPr/>
      <w:tcPr>
        <w:tcBorders>
          <w:left w:val="single" w:sz="4" w:space="0" w:color="C8C8C7" w:themeColor="background1"/>
        </w:tcBorders>
      </w:tcPr>
    </w:tblStylePr>
    <w:tblStylePr w:type="band1Vert">
      <w:tblPr/>
      <w:tcPr>
        <w:tcBorders>
          <w:left w:val="single" w:sz="4" w:space="0" w:color="C8C8C7" w:themeColor="background1"/>
          <w:right w:val="single" w:sz="4" w:space="0" w:color="C8C8C7" w:themeColor="background1"/>
        </w:tcBorders>
      </w:tcPr>
    </w:tblStylePr>
    <w:tblStylePr w:type="band2Vert">
      <w:tblPr/>
      <w:tcPr>
        <w:tcBorders>
          <w:left w:val="single" w:sz="4" w:space="0" w:color="C8C8C7" w:themeColor="background1"/>
          <w:right w:val="single" w:sz="4" w:space="0" w:color="C8C8C7" w:themeColor="background1"/>
        </w:tcBorders>
      </w:tcPr>
    </w:tblStylePr>
    <w:tblStylePr w:type="band1Horz">
      <w:tblPr/>
      <w:tcPr>
        <w:tcBorders>
          <w:top w:val="single" w:sz="4" w:space="0" w:color="C8C8C7" w:themeColor="background1"/>
          <w:bottom w:val="single" w:sz="4" w:space="0" w:color="C8C8C7"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F160DB"/>
    <w:rPr>
      <w:color w:val="0563C1"/>
      <w:u w:val="single"/>
    </w:rPr>
  </w:style>
  <w:style w:type="character" w:styleId="UnresolvedMention">
    <w:name w:val="Unresolved Mention"/>
    <w:basedOn w:val="DefaultParagraphFont"/>
    <w:uiPriority w:val="99"/>
    <w:rsid w:val="0035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ME YMLA Theme">
  <a:themeElements>
    <a:clrScheme name="Custom 13">
      <a:dk1>
        <a:srgbClr val="334D73"/>
      </a:dk1>
      <a:lt1>
        <a:srgbClr val="C8C8C7"/>
      </a:lt1>
      <a:dk2>
        <a:srgbClr val="4174B1"/>
      </a:dk2>
      <a:lt2>
        <a:srgbClr val="FFFFFE"/>
      </a:lt2>
      <a:accent1>
        <a:srgbClr val="DCDDDB"/>
      </a:accent1>
      <a:accent2>
        <a:srgbClr val="C86A63"/>
      </a:accent2>
      <a:accent3>
        <a:srgbClr val="4AA7D5"/>
      </a:accent3>
      <a:accent4>
        <a:srgbClr val="D6AD44"/>
      </a:accent4>
      <a:accent5>
        <a:srgbClr val="C4D468"/>
      </a:accent5>
      <a:accent6>
        <a:srgbClr val="656562"/>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ME YMLA Theme" id="{EAA39BDC-A14A-4BC0-B18A-157CC402CB48}" vid="{5CAD0183-E216-4186-B9C0-63711C04B8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55DE-B917-409A-95CF-D94EA78B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2215</Characters>
  <Application>Microsoft Office Word</Application>
  <DocSecurity>4</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Vega Prentice, Nixida</dc:creator>
  <cp:lastModifiedBy>Essandoh, Jennifer</cp:lastModifiedBy>
  <cp:revision>2</cp:revision>
  <dcterms:created xsi:type="dcterms:W3CDTF">2022-09-23T18:07:00Z</dcterms:created>
  <dcterms:modified xsi:type="dcterms:W3CDTF">2022-09-23T18:07:00Z</dcterms:modified>
</cp:coreProperties>
</file>