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2521" w14:textId="5A0083D8" w:rsidR="009D1CF9" w:rsidRPr="00A00E66" w:rsidRDefault="00B1748F" w:rsidP="00A00E66">
      <w:pPr>
        <w:tabs>
          <w:tab w:val="right" w:pos="9360"/>
        </w:tabs>
      </w:pPr>
      <w:r>
        <w:tab/>
      </w:r>
    </w:p>
    <w:p w14:paraId="4616293C" w14:textId="4B901A48" w:rsidR="009D1CF9" w:rsidRPr="009D1CF9" w:rsidRDefault="009D1CF9" w:rsidP="009D1CF9">
      <w:pPr>
        <w:rPr>
          <w:rFonts w:ascii="Arial" w:hAnsi="Arial" w:cs="Arial"/>
          <w:bCs/>
          <w:sz w:val="36"/>
          <w:szCs w:val="36"/>
          <w:u w:val="single"/>
        </w:rPr>
      </w:pPr>
      <w:r w:rsidRPr="009D1CF9">
        <w:rPr>
          <w:rFonts w:ascii="Arial" w:hAnsi="Arial" w:cs="Arial"/>
          <w:b/>
          <w:color w:val="0070C0"/>
          <w:sz w:val="36"/>
          <w:szCs w:val="36"/>
          <w:u w:val="single"/>
        </w:rPr>
        <w:t>Geriatric Grand Rounds</w:t>
      </w:r>
    </w:p>
    <w:p w14:paraId="143DCCDF" w14:textId="77777777" w:rsidR="000A4A5D" w:rsidRDefault="00000000" w:rsidP="009D1CF9"/>
    <w:p w14:paraId="21E931BA" w14:textId="7EED54D2" w:rsidR="000A4A5D" w:rsidRDefault="00B1748F" w:rsidP="009D1CF9">
      <w:pPr>
        <w:pStyle w:val="granted"/>
        <w:spacing w:before="0" w:beforeAutospacing="0" w:after="0" w:afterAutospacing="0"/>
        <w:rPr>
          <w:rFonts w:ascii="Arial" w:hAnsi="Arial" w:cs="Arial"/>
          <w:b/>
          <w:bCs/>
          <w:noProof/>
          <w:color w:val="08B5E2"/>
          <w:sz w:val="20"/>
          <w:szCs w:val="20"/>
        </w:rPr>
      </w:pPr>
      <w:r w:rsidRPr="006C29A5">
        <w:rPr>
          <w:rFonts w:ascii="Arial" w:hAnsi="Arial" w:cs="Arial"/>
          <w:b/>
          <w:bCs/>
          <w:color w:val="08B5E2"/>
          <w:sz w:val="20"/>
          <w:szCs w:val="20"/>
        </w:rPr>
        <w:t xml:space="preserve">Presented by: </w:t>
      </w:r>
      <w:r w:rsidR="009D1CF9" w:rsidRPr="009D1CF9">
        <w:rPr>
          <w:rFonts w:ascii="Arial" w:hAnsi="Arial" w:cs="Arial"/>
          <w:b/>
          <w:bCs/>
          <w:noProof/>
          <w:color w:val="08B5E2"/>
          <w:sz w:val="20"/>
          <w:szCs w:val="20"/>
        </w:rPr>
        <w:t>Yale School of Medicine’s Section of Geriatrics</w:t>
      </w:r>
    </w:p>
    <w:p w14:paraId="71DBF765" w14:textId="77777777" w:rsidR="004D7BC9" w:rsidRDefault="004D7BC9" w:rsidP="009D1CF9">
      <w:pPr>
        <w:pStyle w:val="granted"/>
        <w:spacing w:before="0" w:beforeAutospacing="0" w:after="0" w:afterAutospacing="0"/>
        <w:rPr>
          <w:rFonts w:ascii="Arial" w:hAnsi="Arial" w:cs="Arial"/>
          <w:b/>
          <w:bCs/>
          <w:noProof/>
          <w:color w:val="08B5E2"/>
          <w:sz w:val="20"/>
          <w:szCs w:val="20"/>
        </w:rPr>
      </w:pPr>
    </w:p>
    <w:p w14:paraId="3116D186" w14:textId="559F705C" w:rsidR="00751B00" w:rsidRPr="00751B00" w:rsidRDefault="00215550" w:rsidP="00215550">
      <w:pPr>
        <w:jc w:val="center"/>
        <w:rPr>
          <w:rFonts w:ascii="Georgia" w:hAnsi="Georgia"/>
          <w:color w:val="4472C4" w:themeColor="accent1"/>
          <w:sz w:val="28"/>
          <w:szCs w:val="28"/>
          <w:shd w:val="clear" w:color="auto" w:fill="FFFFFF"/>
        </w:rPr>
      </w:pPr>
      <w:bookmarkStart w:id="0" w:name="_Hlk76632197"/>
      <w:r>
        <w:rPr>
          <w:rFonts w:ascii="Georgia" w:hAnsi="Georgia"/>
          <w:color w:val="4472C4" w:themeColor="accent1"/>
          <w:sz w:val="28"/>
          <w:szCs w:val="28"/>
          <w:shd w:val="clear" w:color="auto" w:fill="FFFFFF"/>
        </w:rPr>
        <w:t>Guardianship Grand Round</w:t>
      </w:r>
    </w:p>
    <w:p w14:paraId="04412D83" w14:textId="265DF1D7" w:rsidR="008F08B2" w:rsidRPr="009D1CF9" w:rsidRDefault="008F08B2" w:rsidP="008F08B2">
      <w:pPr>
        <w:spacing w:after="200"/>
        <w:jc w:val="center"/>
        <w:rPr>
          <w:rFonts w:ascii="Arial" w:eastAsia="Cambria" w:hAnsi="Arial"/>
          <w:b/>
          <w:bCs/>
          <w:noProof/>
          <w:sz w:val="22"/>
          <w:szCs w:val="22"/>
        </w:rPr>
      </w:pPr>
      <w:r w:rsidRPr="00345C1E">
        <w:rPr>
          <w:rFonts w:ascii="Georgia" w:eastAsia="Cambria" w:hAnsi="Georgia"/>
          <w:b/>
          <w:bCs/>
          <w:noProof/>
          <w:color w:val="0078BF"/>
          <w:sz w:val="28"/>
          <w:szCs w:val="28"/>
        </w:rPr>
        <w:t xml:space="preserve"> </w:t>
      </w:r>
      <w:r w:rsidR="00215550">
        <w:rPr>
          <w:rFonts w:ascii="Arial" w:eastAsia="Cambria" w:hAnsi="Arial"/>
          <w:b/>
          <w:bCs/>
          <w:noProof/>
          <w:sz w:val="22"/>
          <w:szCs w:val="22"/>
        </w:rPr>
        <w:t>11</w:t>
      </w:r>
      <w:r w:rsidR="00751B00">
        <w:rPr>
          <w:rFonts w:ascii="Arial" w:eastAsia="Cambria" w:hAnsi="Arial"/>
          <w:b/>
          <w:bCs/>
          <w:noProof/>
          <w:sz w:val="22"/>
          <w:szCs w:val="22"/>
        </w:rPr>
        <w:t>/</w:t>
      </w:r>
      <w:r w:rsidR="00215550">
        <w:rPr>
          <w:rFonts w:ascii="Arial" w:eastAsia="Cambria" w:hAnsi="Arial"/>
          <w:b/>
          <w:bCs/>
          <w:noProof/>
          <w:sz w:val="22"/>
          <w:szCs w:val="22"/>
        </w:rPr>
        <w:t>15</w:t>
      </w:r>
      <w:r>
        <w:rPr>
          <w:rFonts w:ascii="Arial" w:eastAsia="Cambria" w:hAnsi="Arial"/>
          <w:b/>
          <w:bCs/>
          <w:noProof/>
          <w:sz w:val="22"/>
          <w:szCs w:val="22"/>
        </w:rPr>
        <w:t>/</w:t>
      </w:r>
      <w:r w:rsidRPr="009D1CF9">
        <w:rPr>
          <w:rFonts w:ascii="Arial" w:eastAsia="Cambria" w:hAnsi="Arial"/>
          <w:b/>
          <w:bCs/>
          <w:noProof/>
          <w:sz w:val="22"/>
          <w:szCs w:val="22"/>
        </w:rPr>
        <w:t>202</w:t>
      </w:r>
      <w:r>
        <w:rPr>
          <w:rFonts w:ascii="Arial" w:eastAsia="Cambria" w:hAnsi="Arial"/>
          <w:b/>
          <w:bCs/>
          <w:noProof/>
          <w:sz w:val="22"/>
          <w:szCs w:val="22"/>
        </w:rPr>
        <w:t>2</w:t>
      </w:r>
      <w:r w:rsidRPr="009D1CF9">
        <w:rPr>
          <w:rFonts w:ascii="Arial" w:eastAsia="Cambria" w:hAnsi="Arial"/>
          <w:b/>
          <w:bCs/>
          <w:noProof/>
          <w:sz w:val="22"/>
          <w:szCs w:val="22"/>
        </w:rPr>
        <w:t xml:space="preserve"> 4:00:00 PM</w:t>
      </w:r>
      <w:bookmarkEnd w:id="0"/>
      <w:r w:rsidRPr="009D1CF9">
        <w:rPr>
          <w:rFonts w:ascii="Symbol" w:eastAsia="Cambria" w:hAnsi="Symbol"/>
          <w:b/>
          <w:bCs/>
          <w:noProof/>
          <w:sz w:val="22"/>
          <w:szCs w:val="22"/>
        </w:rPr>
        <w:sym w:font="Symbol" w:char="F02D"/>
      </w:r>
      <w:r w:rsidRPr="009D1CF9">
        <w:rPr>
          <w:rFonts w:ascii="Arial" w:eastAsia="Cambria" w:hAnsi="Arial"/>
          <w:b/>
          <w:bCs/>
          <w:noProof/>
          <w:sz w:val="22"/>
          <w:szCs w:val="22"/>
        </w:rPr>
        <w:t xml:space="preserve">5:00:00 PM </w:t>
      </w:r>
      <w:r w:rsidRPr="009D1CF9">
        <w:rPr>
          <w:rFonts w:ascii="Arial" w:eastAsia="Cambria" w:hAnsi="Arial"/>
          <w:b/>
          <w:bCs/>
          <w:noProof/>
          <w:color w:val="0078BF"/>
          <w:sz w:val="22"/>
          <w:szCs w:val="22"/>
        </w:rPr>
        <w:t>|</w:t>
      </w:r>
      <w:r w:rsidRPr="009D1CF9">
        <w:rPr>
          <w:rFonts w:ascii="Arial" w:eastAsia="Cambria" w:hAnsi="Arial"/>
          <w:b/>
          <w:bCs/>
          <w:noProof/>
          <w:sz w:val="22"/>
          <w:szCs w:val="22"/>
        </w:rPr>
        <w:t xml:space="preserve"> </w:t>
      </w:r>
      <w:r w:rsidR="00215550">
        <w:rPr>
          <w:rFonts w:ascii="Arial" w:eastAsia="Cambria" w:hAnsi="Arial"/>
          <w:b/>
          <w:bCs/>
          <w:noProof/>
          <w:sz w:val="22"/>
          <w:szCs w:val="22"/>
        </w:rPr>
        <w:t xml:space="preserve">In-person and </w:t>
      </w:r>
      <w:r>
        <w:rPr>
          <w:rFonts w:ascii="Arial" w:eastAsia="Cambria" w:hAnsi="Arial"/>
          <w:b/>
          <w:bCs/>
          <w:noProof/>
          <w:sz w:val="22"/>
          <w:szCs w:val="22"/>
        </w:rPr>
        <w:t>Online</w:t>
      </w:r>
    </w:p>
    <w:p w14:paraId="596719D3" w14:textId="51A767AF" w:rsidR="00C86889" w:rsidRDefault="00B1748F" w:rsidP="00512139">
      <w:pPr>
        <w:spacing w:after="200"/>
        <w:jc w:val="center"/>
      </w:pPr>
      <w:r>
        <w:t>Monthly Grand Rounds for Yale Geriatrics</w:t>
      </w:r>
    </w:p>
    <w:p w14:paraId="0AFFB39F" w14:textId="2B071220" w:rsidR="004F4CA2" w:rsidRDefault="009D1CF9" w:rsidP="00CB5B1B">
      <w:pPr>
        <w:spacing w:after="200"/>
        <w:jc w:val="center"/>
        <w:rPr>
          <w:rFonts w:ascii="Lato" w:hAnsi="Lato"/>
          <w:color w:val="232333"/>
          <w:sz w:val="21"/>
          <w:szCs w:val="21"/>
          <w:shd w:val="clear" w:color="auto" w:fill="FFFFFF"/>
        </w:rPr>
      </w:pPr>
      <w:r w:rsidRPr="009D1CF9">
        <w:rPr>
          <w:color w:val="0070C0"/>
          <w:sz w:val="24"/>
          <w:szCs w:val="24"/>
        </w:rPr>
        <w:t>This event will be held</w:t>
      </w:r>
      <w:r w:rsidR="00215550">
        <w:rPr>
          <w:color w:val="0070C0"/>
          <w:sz w:val="24"/>
          <w:szCs w:val="24"/>
        </w:rPr>
        <w:t xml:space="preserve"> in person at </w:t>
      </w:r>
      <w:r w:rsidR="00215550" w:rsidRPr="00215550">
        <w:rPr>
          <w:b/>
          <w:bCs/>
          <w:color w:val="0070C0"/>
          <w:sz w:val="24"/>
          <w:szCs w:val="24"/>
        </w:rPr>
        <w:t>Fi</w:t>
      </w:r>
      <w:r w:rsidR="00215550">
        <w:rPr>
          <w:b/>
          <w:bCs/>
          <w:color w:val="0070C0"/>
          <w:sz w:val="24"/>
          <w:szCs w:val="24"/>
        </w:rPr>
        <w:t>t</w:t>
      </w:r>
      <w:r w:rsidR="00215550" w:rsidRPr="00215550">
        <w:rPr>
          <w:b/>
          <w:bCs/>
          <w:color w:val="0070C0"/>
          <w:sz w:val="24"/>
          <w:szCs w:val="24"/>
        </w:rPr>
        <w:t>kin Auditorium</w:t>
      </w:r>
      <w:r w:rsidR="00215550">
        <w:rPr>
          <w:color w:val="0070C0"/>
          <w:sz w:val="24"/>
          <w:szCs w:val="24"/>
        </w:rPr>
        <w:t xml:space="preserve"> and </w:t>
      </w:r>
      <w:r w:rsidRPr="009D1CF9">
        <w:rPr>
          <w:color w:val="0070C0"/>
          <w:sz w:val="24"/>
          <w:szCs w:val="24"/>
        </w:rPr>
        <w:t xml:space="preserve">via ZOOM: </w:t>
      </w:r>
      <w:r w:rsidR="004F4CA2" w:rsidRPr="004F4CA2">
        <w:br/>
      </w:r>
      <w:r w:rsidR="00C63730" w:rsidRPr="00C63730">
        <w:rPr>
          <w:b/>
          <w:bCs/>
        </w:rPr>
        <w:br/>
      </w:r>
      <w:hyperlink r:id="rId7" w:history="1">
        <w:r w:rsidR="0018467D" w:rsidRPr="0018467D">
          <w:rPr>
            <w:rStyle w:val="Hyperlink"/>
            <w:b/>
            <w:bCs/>
            <w:sz w:val="24"/>
            <w:szCs w:val="24"/>
          </w:rPr>
          <w:t>https://yale.zoom.us/j/98819774075?pwd=UUFrUGovZUJOVEVVbHgwT0ZvbThvdz09</w:t>
        </w:r>
      </w:hyperlink>
    </w:p>
    <w:tbl>
      <w:tblPr>
        <w:tblpPr w:leftFromText="180" w:rightFromText="180" w:vertAnchor="text" w:horzAnchor="margin" w:tblpY="312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00E66" w14:paraId="0252756C" w14:textId="77777777" w:rsidTr="00A00E66">
        <w:trPr>
          <w:tblCellSpacing w:w="15" w:type="dxa"/>
        </w:trPr>
        <w:tc>
          <w:tcPr>
            <w:tcW w:w="0" w:type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30"/>
              <w:gridCol w:w="4630"/>
            </w:tblGrid>
            <w:tr w:rsidR="00215550" w14:paraId="5AE1BA88" w14:textId="77777777" w:rsidTr="00215550">
              <w:tc>
                <w:tcPr>
                  <w:tcW w:w="4630" w:type="dxa"/>
                </w:tcPr>
                <w:p w14:paraId="5E447228" w14:textId="19B8B58B" w:rsidR="00215550" w:rsidRPr="00215550" w:rsidRDefault="00215550" w:rsidP="00A00E66">
                  <w:pPr>
                    <w:framePr w:hSpace="180" w:wrap="around" w:vAnchor="text" w:hAnchor="margin" w:y="312"/>
                    <w:rPr>
                      <w:color w:val="4472C4" w:themeColor="accent1"/>
                      <w:sz w:val="22"/>
                      <w:szCs w:val="22"/>
                    </w:rPr>
                  </w:pPr>
                  <w:bookmarkStart w:id="1" w:name="_Hlk86834661"/>
                  <w:r w:rsidRPr="00215550">
                    <w:rPr>
                      <w:rFonts w:ascii="Mallory" w:hAnsi="Mallory"/>
                      <w:b/>
                      <w:bCs/>
                      <w:color w:val="222222"/>
                      <w:sz w:val="22"/>
                      <w:szCs w:val="22"/>
                    </w:rPr>
                    <w:t>Heather Dostaler</w:t>
                  </w:r>
                  <w:r w:rsidRPr="00215550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Chief Counsel </w:t>
                  </w:r>
                  <w:r w:rsidRPr="00215550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CT Office of the Probate Court Administrator</w:t>
                  </w:r>
                </w:p>
              </w:tc>
              <w:tc>
                <w:tcPr>
                  <w:tcW w:w="4630" w:type="dxa"/>
                </w:tcPr>
                <w:p w14:paraId="02DC5CD3" w14:textId="0C829639" w:rsidR="00215550" w:rsidRPr="003D7D1E" w:rsidRDefault="00215550" w:rsidP="00A00E66">
                  <w:pPr>
                    <w:framePr w:hSpace="180" w:wrap="around" w:vAnchor="text" w:hAnchor="margin" w:y="312"/>
                    <w:rPr>
                      <w:color w:val="4472C4" w:themeColor="accent1"/>
                      <w:sz w:val="22"/>
                      <w:szCs w:val="22"/>
                    </w:rPr>
                  </w:pPr>
                  <w:r w:rsidRPr="003D7D1E">
                    <w:rPr>
                      <w:rFonts w:ascii="Mallory" w:hAnsi="Mallory"/>
                      <w:b/>
                      <w:bCs/>
                      <w:color w:val="222222"/>
                      <w:sz w:val="22"/>
                      <w:szCs w:val="22"/>
                    </w:rPr>
                    <w:t>Dr. Joseph Fickes</w:t>
                  </w:r>
                  <w:r w:rsidRPr="003D7D1E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Doctor of Psychiatry,</w:t>
                  </w:r>
                  <w:r w:rsidRPr="003D7D1E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Yale New Haven Hospital</w:t>
                  </w:r>
                </w:p>
              </w:tc>
            </w:tr>
            <w:tr w:rsidR="00215550" w14:paraId="1F7628D0" w14:textId="77777777" w:rsidTr="00215550">
              <w:tc>
                <w:tcPr>
                  <w:tcW w:w="4630" w:type="dxa"/>
                </w:tcPr>
                <w:p w14:paraId="20BDCFDF" w14:textId="1E33C960" w:rsidR="00215550" w:rsidRPr="00215550" w:rsidRDefault="00215550" w:rsidP="00A00E66">
                  <w:pPr>
                    <w:framePr w:hSpace="180" w:wrap="around" w:vAnchor="text" w:hAnchor="margin" w:y="312"/>
                    <w:rPr>
                      <w:color w:val="4472C4" w:themeColor="accent1"/>
                      <w:sz w:val="22"/>
                      <w:szCs w:val="22"/>
                    </w:rPr>
                  </w:pPr>
                  <w:r w:rsidRPr="00215550">
                    <w:rPr>
                      <w:rFonts w:ascii="Mallory" w:hAnsi="Mallory"/>
                      <w:b/>
                      <w:bCs/>
                      <w:color w:val="222222"/>
                      <w:sz w:val="22"/>
                      <w:szCs w:val="22"/>
                    </w:rPr>
                    <w:t>Dr. James Lai</w:t>
                  </w:r>
                  <w:r w:rsidRPr="00215550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Associate Chief of Clinical Affairs (Geriatrics),</w:t>
                  </w:r>
                  <w:r w:rsidRPr="00215550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Yale School of Medicine</w:t>
                  </w:r>
                </w:p>
              </w:tc>
              <w:tc>
                <w:tcPr>
                  <w:tcW w:w="4630" w:type="dxa"/>
                </w:tcPr>
                <w:p w14:paraId="2CDC6E09" w14:textId="4B31F780" w:rsidR="00215550" w:rsidRPr="003D7D1E" w:rsidRDefault="00215550" w:rsidP="00A00E66">
                  <w:pPr>
                    <w:framePr w:hSpace="180" w:wrap="around" w:vAnchor="text" w:hAnchor="margin" w:y="312"/>
                    <w:rPr>
                      <w:color w:val="4472C4" w:themeColor="accent1"/>
                      <w:sz w:val="22"/>
                      <w:szCs w:val="22"/>
                    </w:rPr>
                  </w:pPr>
                  <w:r w:rsidRPr="003D7D1E">
                    <w:rPr>
                      <w:rFonts w:ascii="Mallory" w:hAnsi="Mallory"/>
                      <w:b/>
                      <w:bCs/>
                      <w:color w:val="222222"/>
                      <w:sz w:val="22"/>
                      <w:szCs w:val="22"/>
                    </w:rPr>
                    <w:t>Carmine Perri </w:t>
                  </w:r>
                  <w:r w:rsidRPr="003D7D1E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Principal, </w:t>
                  </w:r>
                  <w:r w:rsidRPr="003D7D1E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Czepiga, Daly, Pope, &amp; Perri</w:t>
                  </w:r>
                </w:p>
              </w:tc>
            </w:tr>
            <w:tr w:rsidR="00215550" w14:paraId="093C138E" w14:textId="77777777" w:rsidTr="009B03C7">
              <w:tc>
                <w:tcPr>
                  <w:tcW w:w="9260" w:type="dxa"/>
                  <w:gridSpan w:val="2"/>
                </w:tcPr>
                <w:p w14:paraId="584FD21A" w14:textId="35F25CC2" w:rsidR="00215550" w:rsidRPr="00215550" w:rsidRDefault="00215550" w:rsidP="00215550">
                  <w:pPr>
                    <w:framePr w:hSpace="180" w:wrap="around" w:vAnchor="text" w:hAnchor="margin" w:y="312"/>
                    <w:jc w:val="center"/>
                    <w:rPr>
                      <w:rFonts w:ascii="Mallory" w:hAnsi="Mallory"/>
                      <w:b/>
                      <w:bCs/>
                      <w:color w:val="222222"/>
                      <w:sz w:val="22"/>
                      <w:szCs w:val="22"/>
                    </w:rPr>
                  </w:pPr>
                  <w:r w:rsidRPr="00215550">
                    <w:rPr>
                      <w:rFonts w:ascii="Mallory" w:hAnsi="Mallory"/>
                      <w:b/>
                      <w:bCs/>
                      <w:color w:val="222222"/>
                      <w:sz w:val="22"/>
                      <w:szCs w:val="22"/>
                    </w:rPr>
                    <w:t>Melissa Lang </w:t>
                  </w:r>
                  <w:r w:rsidRPr="00215550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President &amp; CEO </w:t>
                  </w:r>
                  <w:r w:rsidRPr="00215550">
                    <w:rPr>
                      <w:rFonts w:ascii="Mallory" w:hAnsi="Mallory"/>
                      <w:color w:val="222222"/>
                      <w:sz w:val="22"/>
                      <w:szCs w:val="22"/>
                    </w:rPr>
                    <w:br/>
                    <w:t>Agency on Agency of South-Central Connecticut</w:t>
                  </w:r>
                </w:p>
              </w:tc>
            </w:tr>
          </w:tbl>
          <w:p w14:paraId="63EC7BB3" w14:textId="0342415F" w:rsidR="00A00E66" w:rsidRPr="00A05443" w:rsidRDefault="00A00E66" w:rsidP="00A00E66">
            <w:pPr>
              <w:rPr>
                <w:color w:val="4472C4" w:themeColor="accent1"/>
              </w:rPr>
            </w:pPr>
          </w:p>
        </w:tc>
      </w:tr>
    </w:tbl>
    <w:bookmarkEnd w:id="1"/>
    <w:p w14:paraId="2DC96C60" w14:textId="68D9EA55" w:rsidR="00527E2C" w:rsidRPr="009C1A30" w:rsidRDefault="00B1748F" w:rsidP="00527E2C">
      <w:pPr>
        <w:spacing w:after="200"/>
        <w:rPr>
          <w:rFonts w:ascii="Arial" w:eastAsia="Cambria" w:hAnsi="Arial" w:cs="Arial"/>
          <w:noProof/>
          <w:sz w:val="22"/>
          <w:szCs w:val="22"/>
        </w:rPr>
      </w:pPr>
      <w:r w:rsidRPr="00164471">
        <w:rPr>
          <w:rFonts w:ascii="Arial" w:eastAsia="Cambria" w:hAnsi="Arial" w:cs="Arial"/>
          <w:b/>
          <w:bCs/>
          <w:sz w:val="22"/>
          <w:szCs w:val="22"/>
        </w:rPr>
        <w:t xml:space="preserve">Faculty: </w:t>
      </w:r>
    </w:p>
    <w:p w14:paraId="774716CD" w14:textId="31D7F693" w:rsidR="00DE4FF8" w:rsidRDefault="00DE4FF8"/>
    <w:p w14:paraId="7B135CE9" w14:textId="77777777" w:rsidR="009D1CF9" w:rsidRPr="009D1CF9" w:rsidRDefault="009D1CF9" w:rsidP="009D1CF9">
      <w:pPr>
        <w:rPr>
          <w:rFonts w:ascii="Arial" w:hAnsi="Arial" w:cs="Arial"/>
          <w:b/>
        </w:rPr>
      </w:pPr>
      <w:r w:rsidRPr="009D1CF9">
        <w:rPr>
          <w:rFonts w:ascii="Arial" w:hAnsi="Arial" w:cs="Arial"/>
          <w:b/>
        </w:rPr>
        <w:t xml:space="preserve">Host: James M. Lai, MD </w:t>
      </w:r>
    </w:p>
    <w:p w14:paraId="451B2D1C" w14:textId="77777777" w:rsidR="009D1CF9" w:rsidRDefault="009D1CF9"/>
    <w:p w14:paraId="7D42BE17" w14:textId="77777777" w:rsidR="001572B8" w:rsidRDefault="00000000" w:rsidP="003D7D1E">
      <w:pPr>
        <w:framePr w:h="2540" w:hRule="exact" w:wrap="auto" w:hAnchor="text"/>
        <w:spacing w:after="200"/>
        <w:rPr>
          <w:rFonts w:ascii="Arial" w:eastAsia="Cambria" w:hAnsi="Arial" w:cs="Arial"/>
          <w:sz w:val="22"/>
          <w:szCs w:val="22"/>
        </w:rPr>
        <w:sectPr w:rsidR="001572B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stTable5Dark-Accent51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E4FF8" w14:paraId="78F5FDD7" w14:textId="77777777" w:rsidTr="00DE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0" w:type="dxa"/>
            <w:tcBorders>
              <w:right w:val="single" w:sz="4" w:space="0" w:color="FFFFFF" w:themeColor="background1"/>
            </w:tcBorders>
          </w:tcPr>
          <w:p w14:paraId="04836FDF" w14:textId="77777777" w:rsidR="008F5709" w:rsidRPr="00CC0ABE" w:rsidRDefault="00B1748F" w:rsidP="008F5709">
            <w:pPr>
              <w:spacing w:before="120" w:after="120"/>
              <w:rPr>
                <w:rFonts w:ascii="Arial" w:eastAsia="Cambria" w:hAnsi="Arial" w:cs="Arial"/>
              </w:rPr>
            </w:pPr>
            <w:r w:rsidRPr="00CC0ABE">
              <w:rPr>
                <w:rFonts w:ascii="Arial" w:eastAsia="Cambria" w:hAnsi="Arial" w:cs="Arial"/>
              </w:rPr>
              <w:t xml:space="preserve">Program Goal: </w:t>
            </w:r>
          </w:p>
          <w:p w14:paraId="5CF4A123" w14:textId="77777777" w:rsidR="00A05443" w:rsidRPr="00215550" w:rsidRDefault="00215550" w:rsidP="00EA19D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TBD</w:t>
            </w:r>
          </w:p>
          <w:p w14:paraId="023A836D" w14:textId="77777777" w:rsidR="00215550" w:rsidRPr="00215550" w:rsidRDefault="00215550" w:rsidP="00EA19D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TBD</w:t>
            </w:r>
          </w:p>
          <w:p w14:paraId="247D60C4" w14:textId="73758E45" w:rsidR="00215550" w:rsidRPr="00EA19D3" w:rsidRDefault="00215550" w:rsidP="00EA19D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TBD</w:t>
            </w:r>
          </w:p>
        </w:tc>
      </w:tr>
      <w:tr w:rsidR="00DE4FF8" w14:paraId="07E82F47" w14:textId="77777777" w:rsidTr="00DE4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</w:tcPr>
          <w:p w14:paraId="10181B9E" w14:textId="77777777" w:rsidR="008F5709" w:rsidRPr="00CC0ABE" w:rsidRDefault="00B1748F" w:rsidP="008F5709">
            <w:pPr>
              <w:spacing w:before="120" w:after="200"/>
              <w:rPr>
                <w:rFonts w:ascii="Arial" w:eastAsia="Cambria" w:hAnsi="Arial" w:cs="Arial"/>
              </w:rPr>
            </w:pPr>
            <w:r w:rsidRPr="00CC0ABE">
              <w:rPr>
                <w:rFonts w:ascii="Arial" w:eastAsia="Cambria" w:hAnsi="Arial" w:cs="Arial"/>
              </w:rPr>
              <w:t xml:space="preserve">Target Audience: </w:t>
            </w:r>
            <w:r w:rsidRPr="00CC0ABE">
              <w:rPr>
                <w:rFonts w:ascii="Arial" w:eastAsia="Cambria" w:hAnsi="Arial" w:cs="Arial"/>
                <w:b w:val="0"/>
                <w:bCs w:val="0"/>
                <w:noProof/>
              </w:rPr>
              <w:t>Geriatric Medicine</w:t>
            </w:r>
          </w:p>
        </w:tc>
      </w:tr>
    </w:tbl>
    <w:p w14:paraId="1C6734A0" w14:textId="77777777" w:rsidR="004A543C" w:rsidRDefault="00B1748F" w:rsidP="00C86889">
      <w:pPr>
        <w:spacing w:after="200"/>
        <w:rPr>
          <w:rFonts w:ascii="Arial" w:eastAsia="Cambria" w:hAnsi="Arial" w:cs="Arial"/>
          <w:i/>
          <w:sz w:val="16"/>
          <w:szCs w:val="16"/>
        </w:rPr>
      </w:pPr>
      <w:r>
        <w:rPr>
          <w:rFonts w:ascii="Arial" w:eastAsia="Cambria" w:hAnsi="Arial" w:cs="Arial"/>
          <w:i/>
          <w:sz w:val="16"/>
          <w:szCs w:val="16"/>
        </w:rPr>
        <w:t xml:space="preserve">Financial Disclosure Information: </w:t>
      </w:r>
    </w:p>
    <w:p w14:paraId="3E5AA96E" w14:textId="77777777" w:rsidR="00C86889" w:rsidRPr="00512139" w:rsidRDefault="00B1748F" w:rsidP="00C86889">
      <w:pPr>
        <w:spacing w:after="200"/>
        <w:rPr>
          <w:rFonts w:ascii="Arial" w:eastAsia="Cambria" w:hAnsi="Arial" w:cs="Arial"/>
          <w:i/>
          <w:sz w:val="16"/>
          <w:szCs w:val="16"/>
        </w:rPr>
      </w:pPr>
      <w:r w:rsidRPr="00512139">
        <w:rPr>
          <w:rFonts w:ascii="Arial" w:eastAsia="Cambria" w:hAnsi="Arial" w:cs="Arial"/>
          <w:i/>
          <w:sz w:val="16"/>
          <w:szCs w:val="16"/>
        </w:rPr>
        <w:t>Accreditation Statement: Yale School of Medicine is accredited by the Accreditation Council for Continuing Medical Education (ACCME) to provide continuing medical education for physicians.</w:t>
      </w:r>
    </w:p>
    <w:p w14:paraId="79EB103F" w14:textId="77777777" w:rsidR="00A00E66" w:rsidRDefault="00B1748F" w:rsidP="009D1CF9">
      <w:pPr>
        <w:spacing w:after="200"/>
        <w:rPr>
          <w:rFonts w:ascii="Arial" w:eastAsia="Cambria" w:hAnsi="Arial" w:cs="Arial"/>
          <w:i/>
          <w:sz w:val="16"/>
          <w:szCs w:val="16"/>
        </w:rPr>
      </w:pPr>
      <w:r w:rsidRPr="00512139">
        <w:rPr>
          <w:rFonts w:ascii="Arial" w:eastAsia="Cambria" w:hAnsi="Arial" w:cs="Arial"/>
          <w:i/>
          <w:sz w:val="16"/>
          <w:szCs w:val="16"/>
        </w:rPr>
        <w:t xml:space="preserve">Designation Statement: Yale School of Medicine designates this </w:t>
      </w:r>
      <w:r>
        <w:rPr>
          <w:rFonts w:ascii="Arial" w:eastAsia="Cambria" w:hAnsi="Arial" w:cs="Arial"/>
          <w:i/>
          <w:noProof/>
          <w:sz w:val="16"/>
          <w:szCs w:val="16"/>
        </w:rPr>
        <w:t>Live Activity</w:t>
      </w:r>
      <w:r w:rsidRPr="00512139">
        <w:rPr>
          <w:rFonts w:ascii="Arial" w:eastAsia="Cambria" w:hAnsi="Arial" w:cs="Arial"/>
          <w:i/>
          <w:sz w:val="16"/>
          <w:szCs w:val="16"/>
        </w:rPr>
        <w:t xml:space="preserve"> for a maximum of </w:t>
      </w:r>
      <w:r>
        <w:rPr>
          <w:rFonts w:ascii="Arial" w:eastAsia="Cambria" w:hAnsi="Arial" w:cs="Arial"/>
          <w:b/>
          <w:bCs/>
          <w:i/>
          <w:noProof/>
          <w:color w:val="0078BF"/>
          <w:sz w:val="16"/>
          <w:szCs w:val="16"/>
        </w:rPr>
        <w:t>1.00</w:t>
      </w:r>
      <w:r w:rsidRPr="006F195F">
        <w:rPr>
          <w:rFonts w:ascii="Arial" w:eastAsia="Cambria" w:hAnsi="Arial" w:cs="Arial"/>
          <w:b/>
          <w:bCs/>
          <w:i/>
          <w:color w:val="0078BF"/>
          <w:sz w:val="16"/>
          <w:szCs w:val="16"/>
        </w:rPr>
        <w:t xml:space="preserve"> AMA PRA Category 1 Credit</w:t>
      </w:r>
      <w:r>
        <w:rPr>
          <w:rFonts w:ascii="Arial" w:eastAsia="Cambria" w:hAnsi="Arial" w:cs="Arial"/>
          <w:b/>
          <w:bCs/>
          <w:i/>
          <w:color w:val="0078BF"/>
          <w:sz w:val="16"/>
          <w:szCs w:val="16"/>
        </w:rPr>
        <w:t>(s)™</w:t>
      </w:r>
      <w:r w:rsidRPr="006F195F">
        <w:rPr>
          <w:rFonts w:ascii="Arial" w:eastAsia="Cambria" w:hAnsi="Arial" w:cs="Arial"/>
          <w:b/>
          <w:bCs/>
          <w:i/>
          <w:color w:val="0078BF"/>
          <w:sz w:val="16"/>
          <w:szCs w:val="16"/>
        </w:rPr>
        <w:t>.</w:t>
      </w:r>
      <w:r w:rsidRPr="006F195F">
        <w:rPr>
          <w:rFonts w:ascii="Arial" w:eastAsia="Cambria" w:hAnsi="Arial" w:cs="Arial"/>
          <w:i/>
          <w:color w:val="0078BF"/>
          <w:sz w:val="16"/>
          <w:szCs w:val="16"/>
        </w:rPr>
        <w:t xml:space="preserve"> </w:t>
      </w:r>
      <w:r w:rsidRPr="00512139">
        <w:rPr>
          <w:rFonts w:ascii="Arial" w:eastAsia="Cambria" w:hAnsi="Arial" w:cs="Arial"/>
          <w:i/>
          <w:sz w:val="16"/>
          <w:szCs w:val="16"/>
        </w:rPr>
        <w:t>Physicians should only claim credit commensurate with the extent of their participation in the activity.</w:t>
      </w:r>
    </w:p>
    <w:p w14:paraId="226C0417" w14:textId="60CED5C0" w:rsidR="00B85050" w:rsidRDefault="00B1748F" w:rsidP="00A00E66">
      <w:pPr>
        <w:spacing w:after="200"/>
        <w:jc w:val="center"/>
      </w:pPr>
      <w:r w:rsidRPr="00CC0ABE">
        <w:rPr>
          <w:rFonts w:ascii="Arial" w:eastAsia="Cambria" w:hAnsi="Arial" w:cs="Arial"/>
          <w:b/>
          <w:bCs/>
          <w:sz w:val="22"/>
          <w:szCs w:val="22"/>
        </w:rPr>
        <w:t xml:space="preserve">For questions, email </w:t>
      </w:r>
      <w:r w:rsidR="00732EAF">
        <w:rPr>
          <w:rFonts w:ascii="Arial" w:eastAsia="Cambria" w:hAnsi="Arial" w:cs="Arial"/>
          <w:b/>
          <w:bCs/>
          <w:noProof/>
          <w:sz w:val="22"/>
          <w:szCs w:val="22"/>
        </w:rPr>
        <w:t>ashley.rodriguez.ar649</w:t>
      </w:r>
      <w:r w:rsidRPr="00CC0ABE">
        <w:rPr>
          <w:rFonts w:ascii="Arial" w:eastAsia="Cambria" w:hAnsi="Arial" w:cs="Arial"/>
          <w:b/>
          <w:bCs/>
          <w:noProof/>
          <w:sz w:val="22"/>
          <w:szCs w:val="22"/>
        </w:rPr>
        <w:t>@yale.edu</w:t>
      </w:r>
    </w:p>
    <w:sectPr w:rsidR="00B85050" w:rsidSect="005121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13D4" w14:textId="77777777" w:rsidR="00C879EA" w:rsidRDefault="00C879EA">
      <w:r>
        <w:separator/>
      </w:r>
    </w:p>
  </w:endnote>
  <w:endnote w:type="continuationSeparator" w:id="0">
    <w:p w14:paraId="27AA695E" w14:textId="77777777" w:rsidR="00C879EA" w:rsidRDefault="00C8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allo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6A79" w14:textId="77777777" w:rsidR="00C879EA" w:rsidRDefault="00C879EA">
      <w:r>
        <w:separator/>
      </w:r>
    </w:p>
  </w:footnote>
  <w:footnote w:type="continuationSeparator" w:id="0">
    <w:p w14:paraId="68C0CAB6" w14:textId="77777777" w:rsidR="00C879EA" w:rsidRDefault="00C8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19B1" w14:textId="77777777" w:rsidR="00525504" w:rsidRDefault="00B1748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52BD7D6" wp14:editId="0E041F9C">
          <wp:simplePos x="0" y="0"/>
          <wp:positionH relativeFrom="margin">
            <wp:posOffset>-1009650</wp:posOffset>
          </wp:positionH>
          <wp:positionV relativeFrom="page">
            <wp:posOffset>-222885</wp:posOffset>
          </wp:positionV>
          <wp:extent cx="7948930" cy="102863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930" cy="1028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3"/>
    <w:multiLevelType w:val="hybridMultilevel"/>
    <w:tmpl w:val="82CC71F4"/>
    <w:lvl w:ilvl="0" w:tplc="08C82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6487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B204B3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D54C67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720A63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7B6070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63E850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E8D026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E82CA0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1EC94A94"/>
    <w:multiLevelType w:val="multilevel"/>
    <w:tmpl w:val="BE04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45CC1"/>
    <w:multiLevelType w:val="hybridMultilevel"/>
    <w:tmpl w:val="47B6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43D83"/>
    <w:multiLevelType w:val="multilevel"/>
    <w:tmpl w:val="F0D4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33B35"/>
    <w:multiLevelType w:val="hybridMultilevel"/>
    <w:tmpl w:val="CEA077F8"/>
    <w:lvl w:ilvl="0" w:tplc="E7ECF6FC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5102">
    <w:abstractNumId w:val="4"/>
  </w:num>
  <w:num w:numId="2" w16cid:durableId="452091494">
    <w:abstractNumId w:val="2"/>
  </w:num>
  <w:num w:numId="3" w16cid:durableId="643437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0008438">
    <w:abstractNumId w:val="0"/>
  </w:num>
  <w:num w:numId="5" w16cid:durableId="1426345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8"/>
    <w:rsid w:val="000A650A"/>
    <w:rsid w:val="000C51CA"/>
    <w:rsid w:val="00112943"/>
    <w:rsid w:val="00115E91"/>
    <w:rsid w:val="00122266"/>
    <w:rsid w:val="0018467D"/>
    <w:rsid w:val="001B02CE"/>
    <w:rsid w:val="00215550"/>
    <w:rsid w:val="002871E6"/>
    <w:rsid w:val="00345C1E"/>
    <w:rsid w:val="00371376"/>
    <w:rsid w:val="00385A9B"/>
    <w:rsid w:val="003D7D1E"/>
    <w:rsid w:val="0047231D"/>
    <w:rsid w:val="0047551C"/>
    <w:rsid w:val="004D7BC9"/>
    <w:rsid w:val="004E4BDA"/>
    <w:rsid w:val="004E6A23"/>
    <w:rsid w:val="004F4CA2"/>
    <w:rsid w:val="00502F68"/>
    <w:rsid w:val="005A60D9"/>
    <w:rsid w:val="005B7D02"/>
    <w:rsid w:val="005C71A3"/>
    <w:rsid w:val="00722EF5"/>
    <w:rsid w:val="00732EAF"/>
    <w:rsid w:val="00751B00"/>
    <w:rsid w:val="007600BC"/>
    <w:rsid w:val="0077775E"/>
    <w:rsid w:val="00821C67"/>
    <w:rsid w:val="008F08B2"/>
    <w:rsid w:val="00997F9E"/>
    <w:rsid w:val="009D1CF9"/>
    <w:rsid w:val="00A00E66"/>
    <w:rsid w:val="00A05443"/>
    <w:rsid w:val="00A54E65"/>
    <w:rsid w:val="00B1748F"/>
    <w:rsid w:val="00B7146B"/>
    <w:rsid w:val="00BD4668"/>
    <w:rsid w:val="00BF5F84"/>
    <w:rsid w:val="00C1007C"/>
    <w:rsid w:val="00C13000"/>
    <w:rsid w:val="00C63730"/>
    <w:rsid w:val="00C879EA"/>
    <w:rsid w:val="00CB5B1B"/>
    <w:rsid w:val="00CD75E0"/>
    <w:rsid w:val="00CF7B3D"/>
    <w:rsid w:val="00D91770"/>
    <w:rsid w:val="00DE4FF8"/>
    <w:rsid w:val="00DF5B2F"/>
    <w:rsid w:val="00E75468"/>
    <w:rsid w:val="00E90F1C"/>
    <w:rsid w:val="00EA19D3"/>
    <w:rsid w:val="00F97D0B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E059"/>
  <w15:docId w15:val="{BEF14D04-B45D-4255-918A-0E64EB7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ed">
    <w:name w:val="granted"/>
    <w:basedOn w:val="Normal"/>
    <w:rsid w:val="000A4A5D"/>
    <w:pPr>
      <w:spacing w:before="100" w:beforeAutospacing="1" w:after="100" w:afterAutospacing="1"/>
    </w:pPr>
    <w:rPr>
      <w:i/>
      <w:iCs/>
      <w:color w:val="003399"/>
      <w:sz w:val="21"/>
      <w:szCs w:val="21"/>
    </w:rPr>
  </w:style>
  <w:style w:type="table" w:styleId="TableGrid">
    <w:name w:val="Table Grid"/>
    <w:basedOn w:val="TableNormal"/>
    <w:uiPriority w:val="39"/>
    <w:rsid w:val="0051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512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1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D1C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le.zoom.us/j/98819774075?pwd=UUFrUGovZUJOVEVVbHgwT0ZvbThv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Prentice, Nixida</dc:creator>
  <cp:lastModifiedBy>Limone, Dana</cp:lastModifiedBy>
  <cp:revision>2</cp:revision>
  <dcterms:created xsi:type="dcterms:W3CDTF">2022-11-03T18:52:00Z</dcterms:created>
  <dcterms:modified xsi:type="dcterms:W3CDTF">2022-11-03T18:52:00Z</dcterms:modified>
</cp:coreProperties>
</file>