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7A6B14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26BD5E26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024E78">
        <w:rPr>
          <w:rFonts w:ascii="Garamond" w:eastAsiaTheme="minorHAnsi" w:hAnsi="Garamond"/>
          <w:color w:val="000000"/>
          <w:sz w:val="28"/>
          <w:szCs w:val="28"/>
        </w:rPr>
        <w:t>, Section of General Medicine</w:t>
      </w:r>
    </w:p>
    <w:p w14:paraId="74FEBE0D" w14:textId="77777777" w:rsidR="00024E78" w:rsidRPr="00024E78" w:rsidRDefault="00024E78" w:rsidP="00024E78">
      <w:pPr>
        <w:jc w:val="center"/>
        <w:rPr>
          <w:rFonts w:ascii="Garamond" w:eastAsiaTheme="minorHAnsi" w:hAnsi="Garamond"/>
          <w:color w:val="003ABD"/>
          <w:sz w:val="56"/>
          <w:szCs w:val="56"/>
        </w:rPr>
      </w:pPr>
      <w:r w:rsidRPr="00024E78">
        <w:rPr>
          <w:rFonts w:ascii="Garamond" w:eastAsiaTheme="minorHAnsi" w:hAnsi="Garamond"/>
          <w:color w:val="003ABD"/>
          <w:sz w:val="56"/>
          <w:szCs w:val="56"/>
        </w:rPr>
        <w:t>Benjamin A. Howell, MD, MPH, MHS</w:t>
      </w:r>
    </w:p>
    <w:p w14:paraId="6BCDFEEB" w14:textId="77777777" w:rsidR="00024E78" w:rsidRPr="00024E78" w:rsidRDefault="00024E78" w:rsidP="00024E78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024E78">
        <w:rPr>
          <w:rFonts w:ascii="Garamond" w:eastAsiaTheme="minorHAnsi" w:hAnsi="Garamond"/>
          <w:color w:val="000000"/>
          <w:sz w:val="24"/>
          <w:szCs w:val="24"/>
        </w:rPr>
        <w:t>Assistant Professor, SEICHE Center for Health and Justice</w:t>
      </w:r>
    </w:p>
    <w:p w14:paraId="75026C2C" w14:textId="58B9637F" w:rsidR="00024E78" w:rsidRPr="00024E78" w:rsidRDefault="00024E78" w:rsidP="00024E78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024E78">
        <w:rPr>
          <w:rFonts w:ascii="Garamond" w:eastAsiaTheme="minorHAnsi" w:hAnsi="Garamond"/>
          <w:color w:val="000000"/>
          <w:sz w:val="24"/>
          <w:szCs w:val="24"/>
        </w:rPr>
        <w:t>Section of General Internal Medicine</w:t>
      </w:r>
    </w:p>
    <w:p w14:paraId="52DAC104" w14:textId="09CD1ACE" w:rsidR="00024E78" w:rsidRPr="00024E78" w:rsidRDefault="00024E78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56"/>
          <w:szCs w:val="56"/>
        </w:rPr>
      </w:pPr>
      <w:r w:rsidRPr="00024E78">
        <w:rPr>
          <w:rFonts w:ascii="Garamond" w:eastAsiaTheme="minorHAnsi" w:hAnsi="Garamond"/>
          <w:color w:val="00B050"/>
          <w:sz w:val="56"/>
          <w:szCs w:val="56"/>
        </w:rPr>
        <w:t>“</w:t>
      </w:r>
      <w:r w:rsidRPr="00024E78">
        <w:rPr>
          <w:rFonts w:ascii="Garamond" w:eastAsiaTheme="minorHAnsi" w:hAnsi="Garamond"/>
          <w:color w:val="00B050"/>
          <w:sz w:val="56"/>
          <w:szCs w:val="56"/>
        </w:rPr>
        <w:t>Structural Drivers of Health: How Health and Social Policy interact with the Criminal Legal System to Create Health Inequities</w:t>
      </w:r>
      <w:r w:rsidRPr="00024E78">
        <w:rPr>
          <w:rFonts w:ascii="Garamond" w:eastAsiaTheme="minorHAnsi" w:hAnsi="Garamond"/>
          <w:color w:val="00B050"/>
          <w:sz w:val="56"/>
          <w:szCs w:val="56"/>
        </w:rPr>
        <w:t>”</w:t>
      </w:r>
    </w:p>
    <w:p w14:paraId="54A74717" w14:textId="3DDC5830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024E7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August 11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6587C8D4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024E78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33293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00C67C29" w14:textId="7A62EBD5" w:rsidR="00024E78" w:rsidRPr="00024E78" w:rsidRDefault="00024E78" w:rsidP="00024E78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024E78">
              <w:rPr>
                <w:rFonts w:ascii="Garamond" w:eastAsia="Cambria" w:hAnsi="Garamond" w:cs="Arial"/>
                <w:b w:val="0"/>
                <w:bCs w:val="0"/>
                <w:noProof/>
              </w:rPr>
              <w:t>1. Identify the impact of the criminal legal system on the health of individuals, families, and communities</w:t>
            </w:r>
          </w:p>
          <w:p w14:paraId="5995E425" w14:textId="3190759A" w:rsidR="00024E78" w:rsidRPr="00024E78" w:rsidRDefault="00024E78" w:rsidP="00024E78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024E78">
              <w:rPr>
                <w:rFonts w:ascii="Garamond" w:eastAsia="Cambria" w:hAnsi="Garamond" w:cs="Arial"/>
                <w:b w:val="0"/>
                <w:bCs w:val="0"/>
                <w:noProof/>
              </w:rPr>
              <w:t>2. Describe the role that Medicaid and social policy have in shaping health outcomes of people who interact with the criminal legal system</w:t>
            </w:r>
          </w:p>
          <w:p w14:paraId="7118A517" w14:textId="2FA472DE" w:rsidR="008F5709" w:rsidRPr="00024E78" w:rsidRDefault="00024E78" w:rsidP="00024E78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024E78">
              <w:rPr>
                <w:rFonts w:ascii="Garamond" w:eastAsia="Cambria" w:hAnsi="Garamond" w:cs="Arial"/>
                <w:b w:val="0"/>
                <w:bCs w:val="0"/>
                <w:noProof/>
              </w:rPr>
              <w:t>3. Examine the role that physicians and health systems have in improving health inequities created by social and structural determinants of health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7A6B14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68707FDD" w14:textId="531537A7" w:rsidR="00024E78" w:rsidRDefault="007C47AA" w:rsidP="00024E78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</w:t>
      </w:r>
      <w:r w:rsidR="00024E78">
        <w:rPr>
          <w:rFonts w:ascii="Garamond" w:eastAsia="Cambria" w:hAnsi="Garamond" w:cs="Arial"/>
          <w:i/>
          <w:sz w:val="16"/>
          <w:szCs w:val="16"/>
        </w:rPr>
        <w:t>s</w:t>
      </w:r>
      <w:r w:rsidR="00024E78" w:rsidRPr="007726A3">
        <w:rPr>
          <w:rFonts w:ascii="Garamond" w:eastAsia="Cambria" w:hAnsi="Garamond" w:cs="Arial"/>
          <w:i/>
          <w:sz w:val="16"/>
          <w:szCs w:val="16"/>
        </w:rPr>
        <w:t>ure Information:</w:t>
      </w:r>
    </w:p>
    <w:tbl>
      <w:tblPr>
        <w:tblpPr w:leftFromText="180" w:rightFromText="180" w:vertAnchor="text" w:horzAnchor="margin" w:tblpY="-3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024E78" w14:paraId="0262CBB0" w14:textId="77777777" w:rsidTr="00024E7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EF0A6D" w14:textId="77777777" w:rsidR="00024E78" w:rsidRPr="00024E78" w:rsidRDefault="00024E78" w:rsidP="00024E7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b/>
                <w:sz w:val="16"/>
                <w:szCs w:val="16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66FF7BB" w14:textId="77777777" w:rsidR="00024E78" w:rsidRPr="00024E78" w:rsidRDefault="00024E78" w:rsidP="00024E7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b/>
                <w:sz w:val="16"/>
                <w:szCs w:val="16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07F656D" w14:textId="77777777" w:rsidR="00024E78" w:rsidRPr="00024E78" w:rsidRDefault="00024E78" w:rsidP="00024E7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b/>
                <w:sz w:val="16"/>
                <w:szCs w:val="16"/>
              </w:rPr>
              <w:t>Name of Ineligible Company(s) / Nature of Relationship(s)</w:t>
            </w:r>
          </w:p>
        </w:tc>
      </w:tr>
      <w:tr w:rsidR="00024E78" w14:paraId="78C40938" w14:textId="77777777" w:rsidTr="00024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CBE2F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Nancy Kravitz,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8E11B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06CA0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Nothing to disclose - 06/24/2022</w:t>
            </w:r>
          </w:p>
        </w:tc>
      </w:tr>
      <w:tr w:rsidR="00024E78" w14:paraId="68A60123" w14:textId="77777777" w:rsidTr="00024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2940B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 xml:space="preserve">Roberta </w:t>
            </w:r>
            <w:proofErr w:type="spellStart"/>
            <w:r w:rsidRPr="00024E78">
              <w:rPr>
                <w:rFonts w:ascii="Garamond" w:hAnsi="Garamond"/>
                <w:sz w:val="16"/>
                <w:szCs w:val="16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636A5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B512C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Nothing to disclose - 06/17/2022</w:t>
            </w:r>
          </w:p>
        </w:tc>
      </w:tr>
      <w:tr w:rsidR="00024E78" w14:paraId="3753BD2A" w14:textId="77777777" w:rsidTr="00024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69B2B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B9957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6547A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Honoraria-Janssen (Relationship has ended) - 07/05/2022</w:t>
            </w:r>
          </w:p>
        </w:tc>
      </w:tr>
      <w:tr w:rsidR="00024E78" w14:paraId="17FBBB74" w14:textId="77777777" w:rsidTr="00024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CBCDE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 xml:space="preserve">Vincent J. </w:t>
            </w:r>
            <w:proofErr w:type="spellStart"/>
            <w:r w:rsidRPr="00024E78">
              <w:rPr>
                <w:rFonts w:ascii="Garamond" w:hAnsi="Garamond"/>
                <w:sz w:val="16"/>
                <w:szCs w:val="16"/>
              </w:rPr>
              <w:t>Quagliarello</w:t>
            </w:r>
            <w:proofErr w:type="spellEnd"/>
            <w:r w:rsidRPr="00024E78">
              <w:rPr>
                <w:rFonts w:ascii="Garamond" w:hAnsi="Garamond"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64481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EB0A7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Nothing to disclose - 06/16/2022</w:t>
            </w:r>
          </w:p>
        </w:tc>
      </w:tr>
      <w:tr w:rsidR="00024E78" w14:paraId="40817025" w14:textId="77777777" w:rsidTr="00024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3213E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Benjamin A Howell,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F01AB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FD529" w14:textId="77777777" w:rsidR="00024E78" w:rsidRPr="00024E78" w:rsidRDefault="00024E78" w:rsidP="00024E78">
            <w:pPr>
              <w:rPr>
                <w:rFonts w:ascii="Garamond" w:hAnsi="Garamond"/>
                <w:sz w:val="16"/>
                <w:szCs w:val="16"/>
              </w:rPr>
            </w:pPr>
            <w:r w:rsidRPr="00024E78">
              <w:rPr>
                <w:rFonts w:ascii="Garamond" w:hAnsi="Garamond"/>
                <w:sz w:val="16"/>
                <w:szCs w:val="16"/>
              </w:rPr>
              <w:t>Nothing to disclose</w:t>
            </w:r>
          </w:p>
        </w:tc>
      </w:tr>
    </w:tbl>
    <w:p w14:paraId="2074CC30" w14:textId="77777777" w:rsidR="007726A3" w:rsidRPr="007726A3" w:rsidRDefault="007726A3" w:rsidP="00024E78">
      <w:pPr>
        <w:spacing w:after="120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A9E4E20" w14:textId="45C98E4D" w:rsidR="00B85050" w:rsidRPr="00024E78" w:rsidRDefault="007C47AA" w:rsidP="00024E78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B85050" w:rsidRPr="00024E78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1894" w14:textId="77777777" w:rsidR="007A6B14" w:rsidRDefault="007A6B14">
      <w:r>
        <w:separator/>
      </w:r>
    </w:p>
  </w:endnote>
  <w:endnote w:type="continuationSeparator" w:id="0">
    <w:p w14:paraId="3FCA34EE" w14:textId="77777777" w:rsidR="007A6B14" w:rsidRDefault="007A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3B9C" w14:textId="77777777" w:rsidR="007A6B14" w:rsidRDefault="007A6B14">
      <w:r>
        <w:separator/>
      </w:r>
    </w:p>
  </w:footnote>
  <w:footnote w:type="continuationSeparator" w:id="0">
    <w:p w14:paraId="67E6336B" w14:textId="77777777" w:rsidR="007A6B14" w:rsidRDefault="007A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24E78"/>
    <w:rsid w:val="000E3FC8"/>
    <w:rsid w:val="00246336"/>
    <w:rsid w:val="0029121A"/>
    <w:rsid w:val="006D4225"/>
    <w:rsid w:val="00753897"/>
    <w:rsid w:val="007726A3"/>
    <w:rsid w:val="007A6B14"/>
    <w:rsid w:val="007C47AA"/>
    <w:rsid w:val="00894075"/>
    <w:rsid w:val="00997F0B"/>
    <w:rsid w:val="00A9038F"/>
    <w:rsid w:val="00AA5A9A"/>
    <w:rsid w:val="00B91C73"/>
    <w:rsid w:val="00C05226"/>
    <w:rsid w:val="00C31026"/>
    <w:rsid w:val="00D80FBC"/>
    <w:rsid w:val="00DC4A4F"/>
    <w:rsid w:val="00DD5D30"/>
    <w:rsid w:val="00E664C5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3</cp:revision>
  <dcterms:created xsi:type="dcterms:W3CDTF">2022-07-14T18:59:00Z</dcterms:created>
  <dcterms:modified xsi:type="dcterms:W3CDTF">2022-07-14T19:03:00Z</dcterms:modified>
</cp:coreProperties>
</file>