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DADC" w14:textId="77777777" w:rsidR="000A4A5D" w:rsidRDefault="009D092E" w:rsidP="00654C31">
      <w:pPr>
        <w:tabs>
          <w:tab w:val="right" w:pos="9360"/>
        </w:tabs>
      </w:pPr>
      <w:r>
        <w:tab/>
      </w:r>
    </w:p>
    <w:p w14:paraId="1D150051" w14:textId="77777777" w:rsidR="000A4A5D" w:rsidRDefault="009D092E"/>
    <w:p w14:paraId="78893D14" w14:textId="77777777" w:rsidR="00164471" w:rsidRPr="00DB3379" w:rsidRDefault="009D092E" w:rsidP="00DB3379">
      <w:pPr>
        <w:spacing w:after="200"/>
        <w:jc w:val="center"/>
        <w:rPr>
          <w:rFonts w:ascii="Georgia" w:eastAsia="Cambria" w:hAnsi="Georgia"/>
          <w:b/>
          <w:bCs/>
          <w:noProof/>
          <w:color w:val="0078BF"/>
          <w:sz w:val="26"/>
          <w:szCs w:val="26"/>
        </w:rPr>
      </w:pPr>
      <w:r w:rsidRPr="00DB3379">
        <w:rPr>
          <w:rFonts w:ascii="Georgia" w:eastAsia="Cambria" w:hAnsi="Georgia"/>
          <w:b/>
          <w:bCs/>
          <w:noProof/>
          <w:color w:val="0078BF"/>
          <w:sz w:val="26"/>
          <w:szCs w:val="26"/>
        </w:rPr>
        <w:t>Addiction Medicine</w:t>
      </w:r>
      <w:r w:rsidRPr="00DB3379">
        <w:rPr>
          <w:rFonts w:ascii="Georgia" w:eastAsia="Cambria" w:hAnsi="Georgia"/>
          <w:b/>
          <w:bCs/>
          <w:noProof/>
          <w:color w:val="0078BF"/>
          <w:sz w:val="26"/>
          <w:szCs w:val="26"/>
        </w:rPr>
        <w:t xml:space="preserve"> Rounds - Minnesota EHR Data Consortium - Integrating Statewide Criminal Justice, Health, and Substance Use Data (Tyler Winkelman)</w:t>
      </w:r>
    </w:p>
    <w:p w14:paraId="43F92313" w14:textId="1D04DBCC" w:rsidR="00C86889" w:rsidRDefault="009D092E" w:rsidP="00512139">
      <w:pPr>
        <w:spacing w:after="200"/>
        <w:jc w:val="center"/>
        <w:rPr>
          <w:rFonts w:ascii="Arial" w:eastAsia="Cambria" w:hAnsi="Arial"/>
          <w:noProof/>
          <w:sz w:val="22"/>
          <w:szCs w:val="22"/>
        </w:rPr>
      </w:pPr>
      <w:bookmarkStart w:id="0" w:name="_Hlk76632197"/>
      <w:r w:rsidRPr="00CC0ABE">
        <w:rPr>
          <w:rFonts w:ascii="Arial" w:eastAsia="Cambria" w:hAnsi="Arial"/>
          <w:noProof/>
          <w:sz w:val="22"/>
          <w:szCs w:val="22"/>
        </w:rPr>
        <w:t>11/10/2022 2:00:00 PM</w:t>
      </w:r>
      <w:bookmarkEnd w:id="0"/>
      <w:r w:rsidRPr="00CC0ABE">
        <w:rPr>
          <w:rFonts w:ascii="Symbol" w:eastAsia="Cambria" w:hAnsi="Symbol"/>
          <w:noProof/>
          <w:sz w:val="22"/>
          <w:szCs w:val="22"/>
        </w:rPr>
        <w:sym w:font="Symbol" w:char="F02D"/>
      </w:r>
      <w:r w:rsidRPr="00CC0ABE">
        <w:rPr>
          <w:rFonts w:ascii="Arial" w:eastAsia="Cambria" w:hAnsi="Arial"/>
          <w:noProof/>
          <w:sz w:val="22"/>
          <w:szCs w:val="22"/>
        </w:rPr>
        <w:t xml:space="preserve">11/10/2022 3:00:00 PM </w:t>
      </w:r>
      <w:r w:rsidRPr="00CC0ABE">
        <w:rPr>
          <w:rFonts w:ascii="Arial" w:eastAsia="Cambria" w:hAnsi="Arial"/>
          <w:noProof/>
          <w:color w:val="0078BF"/>
          <w:sz w:val="22"/>
          <w:szCs w:val="22"/>
        </w:rPr>
        <w:t>|</w:t>
      </w:r>
      <w:r w:rsidRPr="00CC0ABE">
        <w:rPr>
          <w:rFonts w:ascii="Arial" w:eastAsia="Cambria" w:hAnsi="Arial"/>
          <w:noProof/>
          <w:sz w:val="22"/>
          <w:szCs w:val="22"/>
        </w:rPr>
        <w:t xml:space="preserve"> </w:t>
      </w:r>
      <w:r w:rsidR="00DB3379">
        <w:rPr>
          <w:rFonts w:ascii="Arial" w:eastAsia="Cambria" w:hAnsi="Arial"/>
          <w:noProof/>
          <w:sz w:val="22"/>
          <w:szCs w:val="22"/>
        </w:rPr>
        <w:t>Virtual</w:t>
      </w:r>
    </w:p>
    <w:p w14:paraId="5E70D21C" w14:textId="3EFD85A9" w:rsidR="00DB3379" w:rsidRPr="00CC0ABE" w:rsidRDefault="00DB3379" w:rsidP="00512139">
      <w:pPr>
        <w:spacing w:after="200"/>
        <w:jc w:val="center"/>
        <w:rPr>
          <w:rFonts w:ascii="Arial" w:eastAsia="Cambria" w:hAnsi="Arial"/>
          <w:noProof/>
          <w:sz w:val="22"/>
          <w:szCs w:val="22"/>
        </w:rPr>
      </w:pPr>
      <w:r>
        <w:rPr>
          <w:rFonts w:ascii="Arial" w:eastAsia="Cambria" w:hAnsi="Arial"/>
          <w:noProof/>
          <w:sz w:val="22"/>
          <w:szCs w:val="22"/>
        </w:rPr>
        <w:t xml:space="preserve">Register: </w:t>
      </w:r>
      <w:hyperlink r:id="rId7" w:history="1">
        <w:r w:rsidRPr="000874B4">
          <w:rPr>
            <w:rStyle w:val="Hyperlink"/>
            <w:rFonts w:ascii="Arial" w:eastAsia="Cambria" w:hAnsi="Arial"/>
            <w:noProof/>
            <w:sz w:val="22"/>
            <w:szCs w:val="22"/>
          </w:rPr>
          <w:t>https://yalesurvey.ca1.qualtrics.com/jfe/form/SV_9KSLfFE2pXnemcm</w:t>
        </w:r>
      </w:hyperlink>
      <w:r>
        <w:rPr>
          <w:rFonts w:ascii="Arial" w:eastAsia="Cambria" w:hAnsi="Arial"/>
          <w:noProof/>
          <w:sz w:val="22"/>
          <w:szCs w:val="22"/>
        </w:rPr>
        <w:t xml:space="preserve"> </w:t>
      </w:r>
    </w:p>
    <w:p w14:paraId="47C35EA7" w14:textId="77777777" w:rsidR="00C86889" w:rsidRPr="00AC4DCE" w:rsidRDefault="009D092E" w:rsidP="00512139">
      <w:pPr>
        <w:spacing w:after="200"/>
        <w:jc w:val="center"/>
        <w:rPr>
          <w:rFonts w:ascii="Arial" w:eastAsia="Cambria" w:hAnsi="Arial" w:cs="Arial"/>
          <w:noProof/>
          <w:color w:val="000000"/>
          <w:sz w:val="22"/>
          <w:szCs w:val="22"/>
        </w:rPr>
      </w:pPr>
      <w:r>
        <w:t xml:space="preserve">Lectures on the 2nd Thursday of each month from 2-3pm EDT and </w:t>
      </w:r>
      <w:r>
        <w:t>on the 4th Tuesday of each month from 12-1pm EDT. Sponsored by the Yale Program in Addiction Medicine within the Section of General Internal Medicine. Lecture topics are required to address substance use and addiction.</w:t>
      </w:r>
    </w:p>
    <w:p w14:paraId="4D60A13C" w14:textId="7EE55B6B" w:rsidR="00527E2C" w:rsidRPr="009C1A30" w:rsidRDefault="009D092E" w:rsidP="00DB3379">
      <w:pPr>
        <w:spacing w:after="200"/>
        <w:jc w:val="center"/>
        <w:rPr>
          <w:rFonts w:ascii="Arial" w:eastAsia="Cambria" w:hAnsi="Arial" w:cs="Arial"/>
          <w:b/>
          <w:bCs/>
          <w:noProof/>
          <w:sz w:val="22"/>
          <w:szCs w:val="22"/>
        </w:rPr>
      </w:pPr>
      <w:r w:rsidRPr="00AC4DCE">
        <w:rPr>
          <w:rFonts w:ascii="Arial" w:eastAsia="Cambria" w:hAnsi="Arial" w:cs="Arial"/>
          <w:b/>
          <w:bCs/>
          <w:iCs/>
          <w:sz w:val="22"/>
          <w:szCs w:val="22"/>
        </w:rPr>
        <w:t xml:space="preserve">Texting code for today’s session: </w:t>
      </w:r>
      <w:r>
        <w:rPr>
          <w:rFonts w:ascii="Arial" w:eastAsia="Cambria" w:hAnsi="Arial" w:cs="Arial"/>
          <w:b/>
          <w:bCs/>
          <w:iCs/>
          <w:noProof/>
          <w:sz w:val="22"/>
          <w:szCs w:val="22"/>
        </w:rPr>
        <w:t>332</w:t>
      </w:r>
      <w:r>
        <w:rPr>
          <w:rFonts w:ascii="Arial" w:eastAsia="Cambria" w:hAnsi="Arial" w:cs="Arial"/>
          <w:b/>
          <w:bCs/>
          <w:iCs/>
          <w:noProof/>
          <w:sz w:val="22"/>
          <w:szCs w:val="22"/>
        </w:rPr>
        <w:t>53</w:t>
      </w:r>
    </w:p>
    <w:p w14:paraId="0F165E4E" w14:textId="77777777" w:rsidR="00527E2C" w:rsidRPr="009C1A30" w:rsidRDefault="009D092E" w:rsidP="00527E2C">
      <w:pPr>
        <w:spacing w:after="200"/>
        <w:rPr>
          <w:rFonts w:ascii="Arial" w:eastAsia="Cambria" w:hAnsi="Arial" w:cs="Arial"/>
          <w:noProof/>
          <w:sz w:val="22"/>
          <w:szCs w:val="22"/>
        </w:rPr>
      </w:pPr>
      <w:r w:rsidRPr="00164471">
        <w:rPr>
          <w:rFonts w:ascii="Arial" w:eastAsia="Cambria" w:hAnsi="Arial" w:cs="Arial"/>
          <w:b/>
          <w:bCs/>
          <w:sz w:val="22"/>
          <w:szCs w:val="22"/>
        </w:rPr>
        <w:t xml:space="preserve">Faculty: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53722" w14:paraId="10F1B3C1" w14:textId="77777777">
        <w:trPr>
          <w:tblCellSpacing w:w="15" w:type="dxa"/>
        </w:trPr>
        <w:tc>
          <w:tcPr>
            <w:tcW w:w="0" w:type="auto"/>
            <w:vAlign w:val="center"/>
          </w:tcPr>
          <w:p w14:paraId="682C9234" w14:textId="6FEDC39A" w:rsidR="00853722" w:rsidRDefault="00DB3379">
            <w:r>
              <w:t>Tyler Winkelman, MD, MSc</w:t>
            </w:r>
          </w:p>
        </w:tc>
      </w:tr>
      <w:tr w:rsidR="00853722" w14:paraId="7289835F" w14:textId="77777777">
        <w:trPr>
          <w:tblCellSpacing w:w="15" w:type="dxa"/>
        </w:trPr>
        <w:tc>
          <w:tcPr>
            <w:tcW w:w="0" w:type="auto"/>
            <w:vAlign w:val="center"/>
          </w:tcPr>
          <w:p w14:paraId="007D53BA" w14:textId="77777777" w:rsidR="00853722" w:rsidRDefault="00DB3379">
            <w:r>
              <w:t>Internist and Pediatrician</w:t>
            </w:r>
          </w:p>
          <w:p w14:paraId="2389A4F1" w14:textId="42EE0E09" w:rsidR="00DB3379" w:rsidRDefault="00DB3379">
            <w:r>
              <w:t>Co-Director, Health, Homelessness, and Criminal Justice Lab, Hennepin Healthcare Research Institute</w:t>
            </w:r>
          </w:p>
        </w:tc>
      </w:tr>
      <w:tr w:rsidR="00853722" w14:paraId="2140BCC0" w14:textId="77777777">
        <w:trPr>
          <w:tblCellSpacing w:w="15" w:type="dxa"/>
        </w:trPr>
        <w:tc>
          <w:tcPr>
            <w:tcW w:w="0" w:type="auto"/>
            <w:vAlign w:val="center"/>
          </w:tcPr>
          <w:p w14:paraId="3A4C6EBB" w14:textId="77777777" w:rsidR="00853722" w:rsidRDefault="00853722"/>
        </w:tc>
      </w:tr>
    </w:tbl>
    <w:p w14:paraId="4B95C9CC" w14:textId="77777777" w:rsidR="00853722" w:rsidRDefault="00853722"/>
    <w:p w14:paraId="4C6B6BDA" w14:textId="77777777" w:rsidR="007E125F" w:rsidRDefault="009D092E" w:rsidP="00C86889">
      <w:pPr>
        <w:spacing w:after="200"/>
        <w:rPr>
          <w:rStyle w:val="Strong"/>
          <w:rFonts w:ascii="Arial" w:hAnsi="Arial" w:cs="Arial"/>
          <w:color w:val="2E2E2E"/>
          <w:sz w:val="21"/>
          <w:szCs w:val="21"/>
          <w:shd w:val="clear" w:color="auto" w:fill="FFFFFF"/>
        </w:rPr>
      </w:pPr>
      <w:r>
        <w:rPr>
          <w:rFonts w:ascii="Arial" w:eastAsia="Cambria" w:hAnsi="Arial" w:cs="Arial"/>
          <w:b/>
          <w:bCs/>
          <w:sz w:val="22"/>
          <w:szCs w:val="22"/>
        </w:rPr>
        <w:t xml:space="preserve">Course Director &amp; </w:t>
      </w:r>
      <w:r w:rsidRPr="007E125F">
        <w:rPr>
          <w:rFonts w:ascii="Arial" w:eastAsia="Cambria" w:hAnsi="Arial" w:cs="Arial"/>
          <w:b/>
          <w:bCs/>
          <w:sz w:val="22"/>
          <w:szCs w:val="22"/>
        </w:rPr>
        <w:t>Planning Committee:</w:t>
      </w:r>
      <w:r>
        <w:rPr>
          <w:rFonts w:ascii="Arial" w:eastAsia="Cambria" w:hAnsi="Arial" w:cs="Arial"/>
          <w:b/>
          <w:bCs/>
          <w:sz w:val="22"/>
          <w:szCs w:val="22"/>
        </w:rPr>
        <w:t xml:space="preserve"> </w:t>
      </w:r>
      <w:r>
        <w:rPr>
          <w:rFonts w:ascii="Arial" w:eastAsia="Cambria" w:hAnsi="Arial" w:cs="Arial"/>
          <w:b/>
          <w:bCs/>
          <w:sz w:val="22"/>
          <w:szCs w:val="22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2"/>
        <w:gridCol w:w="2797"/>
        <w:gridCol w:w="3735"/>
      </w:tblGrid>
      <w:tr w:rsidR="00853722" w14:paraId="5BA414FE" w14:textId="77777777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501574BE" w14:textId="77777777" w:rsidR="00853722" w:rsidRDefault="009D092E">
            <w:pPr>
              <w:jc w:val="center"/>
            </w:pPr>
            <w:r>
              <w:rPr>
                <w:b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22C821A" w14:textId="77777777" w:rsidR="00853722" w:rsidRDefault="009D092E">
            <w:pPr>
              <w:jc w:val="center"/>
            </w:pPr>
            <w:r>
              <w:rPr>
                <w:b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087FA8E" w14:textId="77777777" w:rsidR="00853722" w:rsidRDefault="009D092E">
            <w:pPr>
              <w:jc w:val="center"/>
            </w:pPr>
            <w:r>
              <w:rPr>
                <w:b/>
              </w:rPr>
              <w:t>Name of Ineligible Company(s) / Nature of Relationship(s)</w:t>
            </w:r>
          </w:p>
        </w:tc>
      </w:tr>
      <w:tr w:rsidR="00853722" w14:paraId="5DB7CAFF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C63455" w14:textId="77777777" w:rsidR="00853722" w:rsidRDefault="009D092E">
            <w:r>
              <w:t xml:space="preserve">Jeanette Tetrault, MD, FACP </w:t>
            </w:r>
            <w:r>
              <w:t>FASAM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D2757A" w14:textId="77777777" w:rsidR="00853722" w:rsidRDefault="009D092E">
            <w:r>
              <w:t>Activity Administrator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F17F92" w14:textId="77777777" w:rsidR="00853722" w:rsidRDefault="009D092E">
            <w:r>
              <w:t>Nothing to disclose - 06/28/2022</w:t>
            </w:r>
          </w:p>
        </w:tc>
      </w:tr>
      <w:tr w:rsidR="00853722" w14:paraId="5C04D946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F372FF" w14:textId="77777777" w:rsidR="00853722" w:rsidRDefault="009D092E">
            <w:r>
              <w:t>Emma Biegacki, MPH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FA317" w14:textId="77777777" w:rsidR="00853722" w:rsidRDefault="009D092E">
            <w:r>
              <w:t>Activity Coordinator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7065F8" w14:textId="77777777" w:rsidR="00853722" w:rsidRDefault="009D092E">
            <w:r>
              <w:t>Nothing to disclose - 06/14/2022</w:t>
            </w:r>
          </w:p>
        </w:tc>
      </w:tr>
      <w:tr w:rsidR="00853722" w14:paraId="311034C8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1027C6" w14:textId="77777777" w:rsidR="00853722" w:rsidRDefault="009D092E">
            <w:r>
              <w:t>David Fiellin,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D2AC80" w14:textId="37FCCAAD" w:rsidR="00853722" w:rsidRDefault="009D092E">
            <w:r>
              <w:t>Course Director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306E9C" w14:textId="77777777" w:rsidR="00853722" w:rsidRDefault="009D092E">
            <w:r>
              <w:t>Nothing to disclose - 10/23/2022</w:t>
            </w:r>
          </w:p>
        </w:tc>
      </w:tr>
      <w:tr w:rsidR="00DB3379" w14:paraId="4956C08B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7F1B2F" w14:textId="048A798E" w:rsidR="00DB3379" w:rsidRDefault="00DB3379">
            <w:r>
              <w:t>Tyler Winkelman, MD, MSc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42C500" w14:textId="77C42BC0" w:rsidR="00DB3379" w:rsidRDefault="00DB3379">
            <w:r>
              <w:t>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8C4C45" w14:textId="55F77360" w:rsidR="00DB3379" w:rsidRDefault="00DB3379">
            <w:r>
              <w:t>Nothing to disclose – 11/9/2022</w:t>
            </w:r>
          </w:p>
        </w:tc>
      </w:tr>
    </w:tbl>
    <w:p w14:paraId="55C5BBE4" w14:textId="58EFB451" w:rsidR="008C6879" w:rsidRPr="008438EA" w:rsidRDefault="009D092E">
      <w:pPr>
        <w:spacing w:after="280" w:afterAutospacing="1"/>
        <w:rPr>
          <w:rFonts w:ascii="Arial" w:eastAsia="Cambria" w:hAnsi="Arial" w:cs="Arial"/>
          <w:b/>
          <w:bCs/>
          <w:sz w:val="22"/>
          <w:szCs w:val="22"/>
        </w:rPr>
        <w:sectPr w:rsidR="008C6879" w:rsidRPr="008438EA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stTable5Dark-Accent3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853722" w14:paraId="523A15C5" w14:textId="77777777" w:rsidTr="00853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</w:tcPr>
          <w:p w14:paraId="1DC5EE80" w14:textId="77777777" w:rsidR="008F5709" w:rsidRPr="008438EA" w:rsidRDefault="009D092E" w:rsidP="008438EA">
            <w:pPr>
              <w:spacing w:before="120"/>
              <w:rPr>
                <w:rFonts w:ascii="Arial" w:eastAsia="Cambria" w:hAnsi="Arial" w:cs="Arial"/>
                <w:color w:val="FFFFFE" w:themeColor="background2"/>
              </w:rPr>
            </w:pPr>
            <w:r w:rsidRPr="008438EA">
              <w:rPr>
                <w:rFonts w:ascii="Arial" w:eastAsia="Cambria" w:hAnsi="Arial" w:cs="Arial"/>
                <w:color w:val="FFFFFE" w:themeColor="background2"/>
              </w:rPr>
              <w:t xml:space="preserve">Program </w:t>
            </w:r>
            <w:r>
              <w:rPr>
                <w:rFonts w:ascii="Arial" w:eastAsia="Cambria" w:hAnsi="Arial" w:cs="Arial"/>
                <w:color w:val="FFFFFE" w:themeColor="background2"/>
              </w:rPr>
              <w:t>Objective(s)</w:t>
            </w:r>
            <w:r w:rsidRPr="008438EA">
              <w:rPr>
                <w:rFonts w:ascii="Arial" w:eastAsia="Cambria" w:hAnsi="Arial" w:cs="Arial"/>
                <w:color w:val="FFFFFE" w:themeColor="background2"/>
              </w:rPr>
              <w:t xml:space="preserve">: </w:t>
            </w:r>
          </w:p>
          <w:p w14:paraId="4D5B61B7" w14:textId="77777777" w:rsidR="008F5709" w:rsidRDefault="009D092E" w:rsidP="008438EA">
            <w:pPr>
              <w:rPr>
                <w:rFonts w:ascii="Arial" w:eastAsia="Cambria" w:hAnsi="Arial" w:cs="Arial"/>
                <w:noProof/>
                <w:color w:val="FFFFFE" w:themeColor="background2"/>
              </w:rPr>
            </w:pPr>
            <w:r w:rsidRPr="008438EA">
              <w:rPr>
                <w:rFonts w:ascii="Arial" w:eastAsia="Cambria" w:hAnsi="Arial" w:cs="Arial"/>
                <w:b w:val="0"/>
                <w:bCs w:val="0"/>
                <w:noProof/>
                <w:color w:val="FFFFFE" w:themeColor="background2"/>
              </w:rPr>
              <w:t>1 Describe</w:t>
            </w:r>
            <w:r w:rsidRPr="008438EA">
              <w:rPr>
                <w:rFonts w:ascii="Arial" w:eastAsia="Cambria" w:hAnsi="Arial" w:cs="Arial"/>
                <w:noProof/>
                <w:color w:val="FFFFFE" w:themeColor="background2"/>
              </w:rPr>
              <w:t xml:space="preserve"> a statewide effort to enhance public health infrastructure through linkage of electronic health record data and administrative data </w:t>
            </w:r>
          </w:p>
          <w:p w14:paraId="45C092AE" w14:textId="77777777" w:rsidR="00853722" w:rsidRPr="008438EA" w:rsidRDefault="009D092E" w:rsidP="008438EA">
            <w:pPr>
              <w:rPr>
                <w:rFonts w:ascii="Arial" w:eastAsia="Cambria" w:hAnsi="Arial" w:cs="Arial"/>
                <w:noProof/>
                <w:color w:val="FFFFFE" w:themeColor="background2"/>
              </w:rPr>
            </w:pPr>
            <w:r w:rsidRPr="008438EA">
              <w:rPr>
                <w:rFonts w:ascii="Arial" w:eastAsia="Cambria" w:hAnsi="Arial" w:cs="Arial"/>
                <w:noProof/>
                <w:color w:val="FFFFFE" w:themeColor="background2"/>
              </w:rPr>
              <w:t xml:space="preserve">2 Review trends in vaccination among people experiencing incarceration and homelessness </w:t>
            </w:r>
          </w:p>
          <w:p w14:paraId="07C7F7F4" w14:textId="77777777" w:rsidR="008F5709" w:rsidRDefault="009D092E" w:rsidP="008438EA">
            <w:pPr>
              <w:rPr>
                <w:rFonts w:ascii="Arial" w:eastAsia="Cambria" w:hAnsi="Arial" w:cs="Arial"/>
                <w:noProof/>
                <w:color w:val="FFFFFE" w:themeColor="background2"/>
              </w:rPr>
            </w:pPr>
            <w:r w:rsidRPr="008438EA">
              <w:rPr>
                <w:rFonts w:ascii="Arial" w:eastAsia="Cambria" w:hAnsi="Arial" w:cs="Arial"/>
                <w:noProof/>
                <w:color w:val="FFFFFE" w:themeColor="background2"/>
              </w:rPr>
              <w:t>3 Recogn</w:t>
            </w:r>
            <w:r w:rsidRPr="008438EA">
              <w:rPr>
                <w:rFonts w:ascii="Arial" w:eastAsia="Cambria" w:hAnsi="Arial" w:cs="Arial"/>
                <w:noProof/>
                <w:color w:val="FFFFFE" w:themeColor="background2"/>
              </w:rPr>
              <w:t xml:space="preserve">ize trends in substance use related emergency department and hospital visits in Hennepin County </w:t>
            </w:r>
          </w:p>
          <w:p w14:paraId="1D7FFDD8" w14:textId="77777777" w:rsidR="008438EA" w:rsidRPr="008438EA" w:rsidRDefault="009D092E" w:rsidP="008438EA">
            <w:pPr>
              <w:rPr>
                <w:rFonts w:ascii="Arial" w:eastAsia="Cambria" w:hAnsi="Arial"/>
                <w:color w:val="FFFFFE" w:themeColor="background2"/>
              </w:rPr>
            </w:pPr>
          </w:p>
        </w:tc>
      </w:tr>
      <w:tr w:rsidR="00853722" w14:paraId="5EA553BD" w14:textId="77777777" w:rsidTr="00853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1961F94A" w14:textId="77777777" w:rsidR="008F5709" w:rsidRPr="008438EA" w:rsidRDefault="009D092E" w:rsidP="008F5709">
            <w:pPr>
              <w:spacing w:before="120" w:after="200"/>
              <w:rPr>
                <w:rFonts w:ascii="Arial" w:eastAsia="Cambria" w:hAnsi="Arial" w:cs="Arial"/>
                <w:color w:val="FFFFFE" w:themeColor="background2"/>
              </w:rPr>
            </w:pPr>
            <w:r w:rsidRPr="008438EA">
              <w:rPr>
                <w:rFonts w:ascii="Arial" w:eastAsia="Cambria" w:hAnsi="Arial" w:cs="Arial"/>
                <w:color w:val="FFFFFE" w:themeColor="background2"/>
              </w:rPr>
              <w:t xml:space="preserve">Target Audience: </w:t>
            </w:r>
            <w:r w:rsidRPr="008438EA">
              <w:rPr>
                <w:rFonts w:ascii="Arial" w:eastAsia="Cambria" w:hAnsi="Arial" w:cs="Arial"/>
                <w:b w:val="0"/>
                <w:bCs w:val="0"/>
                <w:noProof/>
                <w:color w:val="FFFFFE" w:themeColor="background2"/>
              </w:rPr>
              <w:t>Internal Medicine</w:t>
            </w:r>
          </w:p>
        </w:tc>
      </w:tr>
    </w:tbl>
    <w:p w14:paraId="261FE12D" w14:textId="660495B2" w:rsidR="008C6879" w:rsidRPr="00DB3379" w:rsidRDefault="009D092E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Accreditation Statement: Yale School of Medicine is accredited by the Accreditation Council for Continuing Medical Educa</w:t>
      </w:r>
      <w:r w:rsidRPr="00512139">
        <w:rPr>
          <w:rFonts w:ascii="Arial" w:eastAsia="Cambria" w:hAnsi="Arial" w:cs="Arial"/>
          <w:i/>
          <w:sz w:val="16"/>
          <w:szCs w:val="16"/>
        </w:rPr>
        <w:t>tion (ACCME) to provide continuing medical education for physicians.</w:t>
      </w:r>
      <w:r w:rsidR="00DB3379">
        <w:rPr>
          <w:rFonts w:ascii="Arial" w:eastAsia="Cambria" w:hAnsi="Arial" w:cs="Arial"/>
          <w:i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Designation Statement: Yale School of Medicine designates this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Physicians should only claim credit </w:t>
      </w:r>
      <w:r w:rsidRPr="00512139">
        <w:rPr>
          <w:rFonts w:ascii="Arial" w:eastAsia="Cambria" w:hAnsi="Arial" w:cs="Arial"/>
          <w:i/>
          <w:sz w:val="16"/>
          <w:szCs w:val="16"/>
        </w:rPr>
        <w:t>commensurate with the extent of their participation in the activity.</w:t>
      </w:r>
      <w:bookmarkStart w:id="1" w:name="_Hlk83812249"/>
      <w:r w:rsidR="00DB3379">
        <w:rPr>
          <w:rFonts w:ascii="Arial" w:eastAsia="Cambria" w:hAnsi="Arial" w:cs="Arial"/>
          <w:i/>
          <w:sz w:val="16"/>
          <w:szCs w:val="16"/>
        </w:rPr>
        <w:t xml:space="preserve"> </w:t>
      </w:r>
      <w:r w:rsidRPr="008438EA">
        <w:rPr>
          <w:rFonts w:ascii="Arial" w:eastAsia="Cambria" w:hAnsi="Arial" w:cs="Arial"/>
          <w:i/>
          <w:sz w:val="14"/>
          <w:szCs w:val="14"/>
        </w:rPr>
        <w:t>Mitigation of Financial Relationships Statement:</w:t>
      </w:r>
      <w:r w:rsidRPr="008438EA">
        <w:rPr>
          <w:sz w:val="18"/>
          <w:szCs w:val="18"/>
        </w:rPr>
        <w:t xml:space="preserve"> </w:t>
      </w:r>
      <w:r w:rsidRPr="008438EA">
        <w:rPr>
          <w:rFonts w:ascii="Arial" w:eastAsia="Cambria" w:hAnsi="Arial" w:cs="Arial"/>
          <w:i/>
          <w:sz w:val="14"/>
          <w:szCs w:val="14"/>
        </w:rPr>
        <w:t xml:space="preserve">Yale CME adheres to the ACCME’s Standards for Integrity and Independence in Accredited Continuing Education. Any individuals in a </w:t>
      </w:r>
      <w:r w:rsidRPr="008438EA">
        <w:rPr>
          <w:rFonts w:ascii="Arial" w:eastAsia="Cambria" w:hAnsi="Arial" w:cs="Arial"/>
          <w:i/>
          <w:sz w:val="14"/>
          <w:szCs w:val="14"/>
        </w:rPr>
        <w:t>position to control the content of a CE activity, including faculty, planners, reviewers or others are required to disclose all relevant financial relationships with ineligible entities (commercial interests). All relevant conflicts of interest have been m</w:t>
      </w:r>
      <w:r w:rsidRPr="008438EA">
        <w:rPr>
          <w:rFonts w:ascii="Arial" w:eastAsia="Cambria" w:hAnsi="Arial" w:cs="Arial"/>
          <w:i/>
          <w:sz w:val="14"/>
          <w:szCs w:val="14"/>
        </w:rPr>
        <w:t>itigated prior to the commencement of the activity.</w:t>
      </w:r>
    </w:p>
    <w:bookmarkEnd w:id="1"/>
    <w:p w14:paraId="2E49223E" w14:textId="3FF10976" w:rsidR="00B85050" w:rsidRPr="00DB3379" w:rsidRDefault="009D092E" w:rsidP="00DB3379">
      <w:pPr>
        <w:spacing w:after="200"/>
        <w:rPr>
          <w:rFonts w:ascii="Arial" w:eastAsia="Cambria" w:hAnsi="Arial" w:cs="Arial"/>
          <w:b/>
          <w:bCs/>
          <w:color w:val="000000"/>
          <w:sz w:val="22"/>
          <w:szCs w:val="22"/>
        </w:rPr>
      </w:pPr>
      <w:r w:rsidRPr="00CC0ABE">
        <w:rPr>
          <w:rFonts w:ascii="Arial" w:eastAsia="Cambria" w:hAnsi="Arial" w:cs="Arial"/>
          <w:b/>
          <w:bCs/>
          <w:sz w:val="22"/>
          <w:szCs w:val="22"/>
        </w:rPr>
        <w:t xml:space="preserve">For questions, email </w:t>
      </w:r>
      <w:r w:rsidRPr="00CC0ABE">
        <w:rPr>
          <w:rFonts w:ascii="Arial" w:eastAsia="Cambria" w:hAnsi="Arial" w:cs="Arial"/>
          <w:b/>
          <w:bCs/>
          <w:noProof/>
          <w:sz w:val="22"/>
          <w:szCs w:val="22"/>
        </w:rPr>
        <w:t>emma.biegacki@yale.edu</w:t>
      </w:r>
      <w:r w:rsidRPr="00CC0ABE">
        <w:rPr>
          <w:rFonts w:ascii="Arial" w:eastAsia="Cambria" w:hAnsi="Arial" w:cs="Arial"/>
          <w:b/>
          <w:bCs/>
          <w:sz w:val="22"/>
          <w:szCs w:val="22"/>
        </w:rPr>
        <w:t>.</w:t>
      </w:r>
    </w:p>
    <w:sectPr w:rsidR="00B85050" w:rsidRPr="00DB3379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D1939" w14:textId="77777777" w:rsidR="009D092E" w:rsidRDefault="009D092E">
      <w:r>
        <w:separator/>
      </w:r>
    </w:p>
  </w:endnote>
  <w:endnote w:type="continuationSeparator" w:id="0">
    <w:p w14:paraId="0F5CACBB" w14:textId="77777777" w:rsidR="009D092E" w:rsidRDefault="009D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9B285" w14:textId="77777777" w:rsidR="009D092E" w:rsidRDefault="009D092E">
      <w:r>
        <w:separator/>
      </w:r>
    </w:p>
  </w:footnote>
  <w:footnote w:type="continuationSeparator" w:id="0">
    <w:p w14:paraId="1E2A7865" w14:textId="77777777" w:rsidR="009D092E" w:rsidRDefault="009D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B8CB" w14:textId="77777777" w:rsidR="00525504" w:rsidRDefault="009D092E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97B5839" wp14:editId="0BF46EE8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22"/>
    <w:rsid w:val="00853722"/>
    <w:rsid w:val="009D092E"/>
    <w:rsid w:val="00DB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DBEA01"/>
  <w15:docId w15:val="{683CC30A-56D0-604D-ACCF-5DE27F8A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C8C8C7" w:themeColor="background1"/>
    </w:rPr>
    <w:tblPr>
      <w:tblStyleRowBandSize w:val="1"/>
      <w:tblStyleColBandSize w:val="1"/>
      <w:tblBorders>
        <w:top w:val="single" w:sz="24" w:space="0" w:color="C4D468" w:themeColor="accent5"/>
        <w:left w:val="single" w:sz="24" w:space="0" w:color="C4D468" w:themeColor="accent5"/>
        <w:bottom w:val="single" w:sz="24" w:space="0" w:color="C4D468" w:themeColor="accent5"/>
        <w:right w:val="single" w:sz="24" w:space="0" w:color="C4D468" w:themeColor="accent5"/>
      </w:tblBorders>
    </w:tblPr>
    <w:tcPr>
      <w:shd w:val="clear" w:color="auto" w:fill="C4D468" w:themeFill="accent5"/>
    </w:tcPr>
    <w:tblStylePr w:type="firstRow">
      <w:rPr>
        <w:b/>
        <w:bCs/>
      </w:rPr>
      <w:tblPr/>
      <w:tcPr>
        <w:tcBorders>
          <w:bottom w:val="single" w:sz="18" w:space="0" w:color="C8C8C7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C8C8C7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C8C8C7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C8C8C7" w:themeColor="background1"/>
        </w:tcBorders>
      </w:tcPr>
    </w:tblStylePr>
    <w:tblStylePr w:type="band1Vert">
      <w:tblPr/>
      <w:tcPr>
        <w:tcBorders>
          <w:left w:val="single" w:sz="4" w:space="0" w:color="C8C8C7" w:themeColor="background1"/>
          <w:right w:val="single" w:sz="4" w:space="0" w:color="C8C8C7" w:themeColor="background1"/>
        </w:tcBorders>
      </w:tcPr>
    </w:tblStylePr>
    <w:tblStylePr w:type="band2Vert">
      <w:tblPr/>
      <w:tcPr>
        <w:tcBorders>
          <w:left w:val="single" w:sz="4" w:space="0" w:color="C8C8C7" w:themeColor="background1"/>
          <w:right w:val="single" w:sz="4" w:space="0" w:color="C8C8C7" w:themeColor="background1"/>
        </w:tcBorders>
      </w:tcPr>
    </w:tblStylePr>
    <w:tblStylePr w:type="band1Horz">
      <w:tblPr/>
      <w:tcPr>
        <w:tcBorders>
          <w:top w:val="single" w:sz="4" w:space="0" w:color="C8C8C7" w:themeColor="background1"/>
          <w:bottom w:val="single" w:sz="4" w:space="0" w:color="C8C8C7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E125F"/>
    <w:rPr>
      <w:b/>
      <w:bCs/>
    </w:rPr>
  </w:style>
  <w:style w:type="table" w:customStyle="1" w:styleId="ListTable5Dark-Accent31">
    <w:name w:val="List Table 5 Dark - Accent 31"/>
    <w:basedOn w:val="TableNormal"/>
    <w:uiPriority w:val="50"/>
    <w:rsid w:val="008438EA"/>
    <w:pPr>
      <w:spacing w:after="0" w:line="240" w:lineRule="auto"/>
    </w:pPr>
    <w:rPr>
      <w:color w:val="C8C8C7" w:themeColor="background1"/>
    </w:rPr>
    <w:tblPr>
      <w:tblStyleRowBandSize w:val="1"/>
      <w:tblStyleColBandSize w:val="1"/>
      <w:tblBorders>
        <w:top w:val="single" w:sz="24" w:space="0" w:color="4AA7D5" w:themeColor="accent3"/>
        <w:left w:val="single" w:sz="24" w:space="0" w:color="4AA7D5" w:themeColor="accent3"/>
        <w:bottom w:val="single" w:sz="24" w:space="0" w:color="4AA7D5" w:themeColor="accent3"/>
        <w:right w:val="single" w:sz="24" w:space="0" w:color="4AA7D5" w:themeColor="accent3"/>
      </w:tblBorders>
    </w:tblPr>
    <w:tcPr>
      <w:shd w:val="clear" w:color="auto" w:fill="4AA7D5" w:themeFill="accent3"/>
    </w:tcPr>
    <w:tblStylePr w:type="firstRow">
      <w:rPr>
        <w:b/>
        <w:bCs/>
      </w:rPr>
      <w:tblPr/>
      <w:tcPr>
        <w:tcBorders>
          <w:bottom w:val="single" w:sz="18" w:space="0" w:color="C8C8C7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C8C8C7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C8C8C7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C8C8C7" w:themeColor="background1"/>
        </w:tcBorders>
      </w:tcPr>
    </w:tblStylePr>
    <w:tblStylePr w:type="band1Vert">
      <w:tblPr/>
      <w:tcPr>
        <w:tcBorders>
          <w:left w:val="single" w:sz="4" w:space="0" w:color="C8C8C7" w:themeColor="background1"/>
          <w:right w:val="single" w:sz="4" w:space="0" w:color="C8C8C7" w:themeColor="background1"/>
        </w:tcBorders>
      </w:tcPr>
    </w:tblStylePr>
    <w:tblStylePr w:type="band2Vert">
      <w:tblPr/>
      <w:tcPr>
        <w:tcBorders>
          <w:left w:val="single" w:sz="4" w:space="0" w:color="C8C8C7" w:themeColor="background1"/>
          <w:right w:val="single" w:sz="4" w:space="0" w:color="C8C8C7" w:themeColor="background1"/>
        </w:tcBorders>
      </w:tcPr>
    </w:tblStylePr>
    <w:tblStylePr w:type="band1Horz">
      <w:tblPr/>
      <w:tcPr>
        <w:tcBorders>
          <w:top w:val="single" w:sz="4" w:space="0" w:color="C8C8C7" w:themeColor="background1"/>
          <w:bottom w:val="single" w:sz="4" w:space="0" w:color="C8C8C7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B33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B3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alesurvey.ca1.qualtrics.com/jfe/form/SV_9KSLfFE2pXnemc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ME YMLA Theme">
  <a:themeElements>
    <a:clrScheme name="Custom 13">
      <a:dk1>
        <a:srgbClr val="334D73"/>
      </a:dk1>
      <a:lt1>
        <a:srgbClr val="C8C8C7"/>
      </a:lt1>
      <a:dk2>
        <a:srgbClr val="4174B1"/>
      </a:dk2>
      <a:lt2>
        <a:srgbClr val="FFFFFE"/>
      </a:lt2>
      <a:accent1>
        <a:srgbClr val="DCDDDB"/>
      </a:accent1>
      <a:accent2>
        <a:srgbClr val="C86A63"/>
      </a:accent2>
      <a:accent3>
        <a:srgbClr val="4AA7D5"/>
      </a:accent3>
      <a:accent4>
        <a:srgbClr val="D6AD44"/>
      </a:accent4>
      <a:accent5>
        <a:srgbClr val="C4D468"/>
      </a:accent5>
      <a:accent6>
        <a:srgbClr val="656562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ME YMLA Theme" id="{EAA39BDC-A14A-4BC0-B18A-157CC402CB48}" vid="{5CAD0183-E216-4186-B9C0-63711C04B8A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755DE-B917-409A-95CF-D94EA78B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Biegacki, Emma</cp:lastModifiedBy>
  <cp:revision>2</cp:revision>
  <dcterms:created xsi:type="dcterms:W3CDTF">2022-10-28T18:08:00Z</dcterms:created>
  <dcterms:modified xsi:type="dcterms:W3CDTF">2022-10-28T18:08:00Z</dcterms:modified>
</cp:coreProperties>
</file>