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13FC1D59"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49FEA64A" w14:textId="44AF6160" w:rsidR="00B474CF" w:rsidRDefault="00083B57" w:rsidP="00766FCD">
      <w:pPr>
        <w:pStyle w:val="BodyText"/>
        <w:rPr>
          <w:rFonts w:ascii="Garamond" w:hAnsi="Garamond"/>
          <w:sz w:val="28"/>
          <w:szCs w:val="28"/>
        </w:rPr>
      </w:pPr>
      <w:r>
        <w:rPr>
          <w:rFonts w:ascii="Garamond" w:hAnsi="Garamond"/>
          <w:sz w:val="28"/>
          <w:szCs w:val="28"/>
        </w:rPr>
        <w:t>Internal Medicine Education</w:t>
      </w:r>
    </w:p>
    <w:p w14:paraId="18821DD7" w14:textId="5EAFA598" w:rsidR="00766FCD" w:rsidRPr="00B03221" w:rsidRDefault="00B8619C" w:rsidP="00B8619C">
      <w:pPr>
        <w:jc w:val="center"/>
        <w:rPr>
          <w:rFonts w:ascii="Garamond" w:hAnsi="Garamond"/>
          <w:color w:val="00349D"/>
          <w:sz w:val="110"/>
          <w:szCs w:val="110"/>
        </w:rPr>
      </w:pPr>
      <w:r w:rsidRPr="00B03221">
        <w:rPr>
          <w:rFonts w:ascii="Garamond" w:hAnsi="Garamond"/>
          <w:color w:val="00349D"/>
          <w:sz w:val="110"/>
          <w:szCs w:val="110"/>
        </w:rPr>
        <w:t xml:space="preserve">Bailey Fitzgerald, MD    </w:t>
      </w:r>
    </w:p>
    <w:p w14:paraId="709B9471" w14:textId="32D3A080" w:rsidR="00083B57" w:rsidRDefault="00083B57" w:rsidP="00F46948">
      <w:pPr>
        <w:jc w:val="center"/>
        <w:rPr>
          <w:rFonts w:ascii="Garamond" w:hAnsi="Garamond"/>
          <w:color w:val="000000" w:themeColor="text1"/>
          <w:sz w:val="28"/>
        </w:rPr>
      </w:pPr>
      <w:r w:rsidRPr="00083B57">
        <w:rPr>
          <w:rFonts w:ascii="Garamond" w:hAnsi="Garamond"/>
          <w:color w:val="000000" w:themeColor="text1"/>
          <w:sz w:val="28"/>
        </w:rPr>
        <w:t xml:space="preserve">Chief Resident, </w:t>
      </w:r>
      <w:r w:rsidR="00B03221">
        <w:rPr>
          <w:rFonts w:ascii="Garamond" w:hAnsi="Garamond"/>
          <w:color w:val="000000" w:themeColor="text1"/>
          <w:sz w:val="28"/>
        </w:rPr>
        <w:t xml:space="preserve">Yale Traditional </w:t>
      </w:r>
      <w:r w:rsidRPr="00083B57">
        <w:rPr>
          <w:rFonts w:ascii="Garamond" w:hAnsi="Garamond"/>
          <w:color w:val="000000" w:themeColor="text1"/>
          <w:sz w:val="28"/>
        </w:rPr>
        <w:t>Internal Medicine</w:t>
      </w:r>
    </w:p>
    <w:p w14:paraId="60904BCB" w14:textId="5FED72A3" w:rsidR="00B8619C" w:rsidRPr="00A173EF" w:rsidRDefault="00B03221" w:rsidP="00B03221">
      <w:pPr>
        <w:pStyle w:val="NormalWeb"/>
        <w:shd w:val="clear" w:color="auto" w:fill="FFFFFF"/>
        <w:spacing w:before="0" w:beforeAutospacing="0" w:after="0" w:afterAutospacing="0"/>
        <w:jc w:val="center"/>
        <w:rPr>
          <w:rFonts w:ascii="Garamond" w:hAnsi="Garamond"/>
          <w:color w:val="00B050"/>
          <w:sz w:val="60"/>
          <w:szCs w:val="60"/>
        </w:rPr>
      </w:pPr>
      <w:r w:rsidRPr="00A173EF">
        <w:rPr>
          <w:rFonts w:ascii="Garamond" w:hAnsi="Garamond"/>
          <w:color w:val="00B050"/>
          <w:sz w:val="60"/>
          <w:szCs w:val="60"/>
        </w:rPr>
        <w:t>“No Smoke Without Fire: What Your Patients Need to Know About Tobacco, Vaping, Marijuana, and Their Risk of Cancer”</w:t>
      </w:r>
      <w:bookmarkStart w:id="0" w:name="_GoBack"/>
      <w:bookmarkEnd w:id="0"/>
    </w:p>
    <w:p w14:paraId="519146D6" w14:textId="0B85553A"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083B57">
        <w:rPr>
          <w:rFonts w:ascii="Garamond" w:hAnsi="Garamond"/>
          <w:b/>
        </w:rPr>
        <w:t xml:space="preserve">January </w:t>
      </w:r>
      <w:r w:rsidR="00B8619C">
        <w:rPr>
          <w:rFonts w:ascii="Garamond" w:hAnsi="Garamond"/>
          <w:b/>
        </w:rPr>
        <w:t>30</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A173EF" w:rsidRDefault="00DD2BF3" w:rsidP="00DD2BF3">
      <w:pPr>
        <w:rPr>
          <w:rFonts w:ascii="Garamond" w:hAnsi="Garamond"/>
          <w:sz w:val="19"/>
          <w:szCs w:val="19"/>
        </w:rPr>
        <w:sectPr w:rsidR="00DD2BF3" w:rsidRPr="00A173E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A173EF" w:rsidRDefault="004A3256" w:rsidP="00DD2BF3">
      <w:pPr>
        <w:rPr>
          <w:rFonts w:ascii="Garamond" w:hAnsi="Garamond"/>
          <w:b/>
          <w:sz w:val="19"/>
          <w:szCs w:val="19"/>
          <w:u w:val="single"/>
        </w:rPr>
      </w:pPr>
    </w:p>
    <w:p w14:paraId="187419E3" w14:textId="1DE179BB" w:rsidR="00DD2BF3" w:rsidRPr="00A173EF" w:rsidRDefault="00DD2BF3" w:rsidP="001B6215">
      <w:pPr>
        <w:jc w:val="both"/>
        <w:rPr>
          <w:rFonts w:ascii="Garamond" w:hAnsi="Garamond"/>
          <w:b/>
          <w:sz w:val="19"/>
          <w:szCs w:val="19"/>
          <w:u w:val="single"/>
        </w:rPr>
      </w:pPr>
      <w:r w:rsidRPr="00A173EF">
        <w:rPr>
          <w:rFonts w:ascii="Garamond" w:hAnsi="Garamond"/>
          <w:b/>
          <w:sz w:val="19"/>
          <w:szCs w:val="19"/>
          <w:u w:val="single"/>
        </w:rPr>
        <w:t>ACCREDITATION</w:t>
      </w:r>
      <w:r w:rsidR="00841EE6" w:rsidRPr="00A173EF">
        <w:rPr>
          <w:rFonts w:ascii="Garamond" w:hAnsi="Garamond"/>
          <w:b/>
          <w:sz w:val="19"/>
          <w:szCs w:val="19"/>
          <w:u w:val="single"/>
        </w:rPr>
        <w:t>:</w:t>
      </w:r>
    </w:p>
    <w:p w14:paraId="3911D8B4" w14:textId="77777777" w:rsidR="00DD2BF3" w:rsidRPr="00A173EF" w:rsidRDefault="00DD2BF3" w:rsidP="001B6215">
      <w:pPr>
        <w:jc w:val="both"/>
        <w:rPr>
          <w:rFonts w:ascii="Garamond" w:hAnsi="Garamond"/>
          <w:sz w:val="19"/>
          <w:szCs w:val="19"/>
        </w:rPr>
      </w:pPr>
      <w:r w:rsidRPr="00A173EF">
        <w:rPr>
          <w:rFonts w:ascii="Garamond" w:hAnsi="Garamond"/>
          <w:sz w:val="19"/>
          <w:szCs w:val="19"/>
        </w:rPr>
        <w:t>The Yale School of Medicine is accredited by the Accreditation Council for Continuing Medical Education to provide continuing medical education for physicians.</w:t>
      </w:r>
    </w:p>
    <w:p w14:paraId="7CB356EA" w14:textId="77777777" w:rsidR="00DD2BF3" w:rsidRPr="00A173EF" w:rsidRDefault="00DD2BF3" w:rsidP="001B6215">
      <w:pPr>
        <w:jc w:val="both"/>
        <w:rPr>
          <w:rFonts w:ascii="Garamond" w:hAnsi="Garamond"/>
          <w:sz w:val="19"/>
          <w:szCs w:val="19"/>
        </w:rPr>
      </w:pPr>
    </w:p>
    <w:p w14:paraId="071A53EF" w14:textId="40F1F8C5" w:rsidR="00DD2BF3" w:rsidRPr="00A173EF" w:rsidRDefault="00DD2BF3" w:rsidP="001B6215">
      <w:pPr>
        <w:jc w:val="both"/>
        <w:rPr>
          <w:rFonts w:ascii="Garamond" w:hAnsi="Garamond"/>
          <w:b/>
          <w:sz w:val="19"/>
          <w:szCs w:val="19"/>
          <w:u w:val="single"/>
        </w:rPr>
      </w:pPr>
      <w:r w:rsidRPr="00A173EF">
        <w:rPr>
          <w:rFonts w:ascii="Garamond" w:hAnsi="Garamond"/>
          <w:b/>
          <w:sz w:val="19"/>
          <w:szCs w:val="19"/>
          <w:u w:val="single"/>
        </w:rPr>
        <w:t>TARGET AUDIENCE</w:t>
      </w:r>
      <w:r w:rsidR="00841EE6" w:rsidRPr="00A173EF">
        <w:rPr>
          <w:rFonts w:ascii="Garamond" w:hAnsi="Garamond"/>
          <w:b/>
          <w:sz w:val="19"/>
          <w:szCs w:val="19"/>
          <w:u w:val="single"/>
        </w:rPr>
        <w:t>:</w:t>
      </w:r>
    </w:p>
    <w:p w14:paraId="6E07BE71" w14:textId="77777777" w:rsidR="00841EE6" w:rsidRPr="00A173EF" w:rsidRDefault="00841EE6" w:rsidP="001B6215">
      <w:pPr>
        <w:jc w:val="both"/>
        <w:rPr>
          <w:rFonts w:ascii="Garamond" w:hAnsi="Garamond"/>
          <w:sz w:val="19"/>
          <w:szCs w:val="19"/>
        </w:rPr>
      </w:pPr>
      <w:r w:rsidRPr="00A173EF">
        <w:rPr>
          <w:b/>
          <w:sz w:val="19"/>
          <w:szCs w:val="19"/>
        </w:rPr>
        <w:t>Attending physicians, house staff, fellows, medical students, PA’s</w:t>
      </w:r>
    </w:p>
    <w:p w14:paraId="209B6B21" w14:textId="77777777" w:rsidR="00DD2BF3" w:rsidRPr="00A173EF" w:rsidRDefault="00DD2BF3" w:rsidP="001B6215">
      <w:pPr>
        <w:jc w:val="both"/>
        <w:rPr>
          <w:rFonts w:ascii="Garamond" w:hAnsi="Garamond"/>
          <w:sz w:val="19"/>
          <w:szCs w:val="19"/>
        </w:rPr>
      </w:pPr>
    </w:p>
    <w:p w14:paraId="3C9B5470" w14:textId="478763EC" w:rsidR="00DD2BF3" w:rsidRPr="00A173EF" w:rsidRDefault="00DD2BF3" w:rsidP="001B6215">
      <w:pPr>
        <w:jc w:val="both"/>
        <w:rPr>
          <w:rFonts w:ascii="Garamond" w:hAnsi="Garamond"/>
          <w:b/>
          <w:sz w:val="19"/>
          <w:szCs w:val="19"/>
          <w:u w:val="single"/>
        </w:rPr>
      </w:pPr>
      <w:r w:rsidRPr="00A173EF">
        <w:rPr>
          <w:rFonts w:ascii="Garamond" w:hAnsi="Garamond"/>
          <w:b/>
          <w:sz w:val="19"/>
          <w:szCs w:val="19"/>
          <w:u w:val="single"/>
        </w:rPr>
        <w:t>NEEDS ASSESSMENT</w:t>
      </w:r>
      <w:r w:rsidR="00841EE6" w:rsidRPr="00A173EF">
        <w:rPr>
          <w:rFonts w:ascii="Garamond" w:hAnsi="Garamond"/>
          <w:b/>
          <w:sz w:val="19"/>
          <w:szCs w:val="19"/>
          <w:u w:val="single"/>
        </w:rPr>
        <w:t>:</w:t>
      </w:r>
    </w:p>
    <w:p w14:paraId="2E0317D8" w14:textId="5D332E83" w:rsidR="00DD2BF3" w:rsidRPr="00A173EF" w:rsidRDefault="00A173EF" w:rsidP="001B6215">
      <w:pPr>
        <w:jc w:val="both"/>
        <w:rPr>
          <w:rFonts w:ascii="Garamond" w:hAnsi="Garamond"/>
          <w:sz w:val="19"/>
          <w:szCs w:val="19"/>
        </w:rPr>
      </w:pPr>
      <w:r w:rsidRPr="00A173EF">
        <w:rPr>
          <w:rFonts w:ascii="Garamond" w:hAnsi="Garamond"/>
          <w:sz w:val="19"/>
          <w:szCs w:val="19"/>
        </w:rPr>
        <w:t>Smoking is associated with increased risk of cancer and other adverse health outcomes. Physicians need to understand the relative risks of the use of tobacco, E-cigarettes and marijuana, and know about strategies to communicate with their patients about the risks of smoking.</w:t>
      </w:r>
    </w:p>
    <w:p w14:paraId="0F8C3F85" w14:textId="77777777" w:rsidR="00A173EF" w:rsidRPr="00A173EF" w:rsidRDefault="00A173EF" w:rsidP="001B6215">
      <w:pPr>
        <w:jc w:val="both"/>
        <w:rPr>
          <w:rFonts w:ascii="Garamond" w:hAnsi="Garamond"/>
          <w:sz w:val="19"/>
          <w:szCs w:val="19"/>
        </w:rPr>
      </w:pPr>
    </w:p>
    <w:p w14:paraId="47B67410" w14:textId="7E2CE472" w:rsidR="00DD2BF3" w:rsidRPr="00A173EF" w:rsidRDefault="00DD2BF3" w:rsidP="001B6215">
      <w:pPr>
        <w:jc w:val="both"/>
        <w:rPr>
          <w:rFonts w:ascii="Garamond" w:hAnsi="Garamond"/>
          <w:b/>
          <w:sz w:val="19"/>
          <w:szCs w:val="19"/>
          <w:u w:val="single"/>
        </w:rPr>
      </w:pPr>
      <w:r w:rsidRPr="00A173EF">
        <w:rPr>
          <w:rFonts w:ascii="Garamond" w:hAnsi="Garamond"/>
          <w:b/>
          <w:sz w:val="19"/>
          <w:szCs w:val="19"/>
          <w:u w:val="single"/>
        </w:rPr>
        <w:t>LEARNING OBJECTIVES</w:t>
      </w:r>
      <w:r w:rsidR="00841EE6" w:rsidRPr="00A173EF">
        <w:rPr>
          <w:rFonts w:ascii="Garamond" w:hAnsi="Garamond"/>
          <w:b/>
          <w:sz w:val="19"/>
          <w:szCs w:val="19"/>
          <w:u w:val="single"/>
        </w:rPr>
        <w:t>:</w:t>
      </w:r>
    </w:p>
    <w:p w14:paraId="353CFE55" w14:textId="77777777" w:rsidR="00B03221" w:rsidRPr="00A173EF" w:rsidRDefault="00B03221" w:rsidP="00A173EF">
      <w:pPr>
        <w:jc w:val="both"/>
        <w:rPr>
          <w:rFonts w:ascii="Garamond" w:hAnsi="Garamond"/>
          <w:sz w:val="19"/>
          <w:szCs w:val="19"/>
        </w:rPr>
      </w:pPr>
      <w:r w:rsidRPr="00A173EF">
        <w:rPr>
          <w:rFonts w:ascii="Garamond" w:hAnsi="Garamond"/>
          <w:sz w:val="19"/>
          <w:szCs w:val="19"/>
        </w:rPr>
        <w:t>1. Review of the historical and current associations between smoking and cancer risk</w:t>
      </w:r>
    </w:p>
    <w:p w14:paraId="71F6B18D" w14:textId="77777777" w:rsidR="00B03221" w:rsidRPr="00A173EF" w:rsidRDefault="00B03221" w:rsidP="00A173EF">
      <w:pPr>
        <w:jc w:val="both"/>
        <w:rPr>
          <w:rFonts w:ascii="Garamond" w:hAnsi="Garamond"/>
          <w:sz w:val="19"/>
          <w:szCs w:val="19"/>
        </w:rPr>
      </w:pPr>
      <w:r w:rsidRPr="00A173EF">
        <w:rPr>
          <w:rFonts w:ascii="Garamond" w:hAnsi="Garamond"/>
          <w:sz w:val="19"/>
          <w:szCs w:val="19"/>
        </w:rPr>
        <w:t>2. Discuss the literature behind E-cigarettes as a harm reduction model and emerging science of carcinogenesis</w:t>
      </w:r>
    </w:p>
    <w:p w14:paraId="7FF5CC01" w14:textId="09508B25" w:rsidR="00B03221" w:rsidRPr="00A173EF" w:rsidRDefault="00B03221" w:rsidP="00A173EF">
      <w:pPr>
        <w:jc w:val="both"/>
        <w:rPr>
          <w:rFonts w:ascii="Garamond" w:hAnsi="Garamond"/>
          <w:sz w:val="19"/>
          <w:szCs w:val="19"/>
        </w:rPr>
      </w:pPr>
      <w:r w:rsidRPr="00A173EF">
        <w:rPr>
          <w:rFonts w:ascii="Garamond" w:hAnsi="Garamond"/>
          <w:sz w:val="19"/>
          <w:szCs w:val="19"/>
        </w:rPr>
        <w:t>3. Does smoking marijuana cause cancer? Review of a literature debate</w:t>
      </w:r>
    </w:p>
    <w:p w14:paraId="352454B2" w14:textId="07C473CE" w:rsidR="000E00A4" w:rsidRPr="00A173EF" w:rsidRDefault="00B03221" w:rsidP="00A173EF">
      <w:pPr>
        <w:jc w:val="both"/>
        <w:rPr>
          <w:rFonts w:ascii="Garamond" w:hAnsi="Garamond"/>
          <w:sz w:val="19"/>
          <w:szCs w:val="19"/>
        </w:rPr>
      </w:pPr>
      <w:r w:rsidRPr="00A173EF">
        <w:rPr>
          <w:rFonts w:ascii="Garamond" w:hAnsi="Garamond"/>
          <w:sz w:val="19"/>
          <w:szCs w:val="19"/>
        </w:rPr>
        <w:t>4. Strategies for effective communication surrounding smoking with patients</w:t>
      </w:r>
    </w:p>
    <w:p w14:paraId="0E2D55B0" w14:textId="77777777" w:rsidR="00A173EF" w:rsidRPr="00A173EF" w:rsidRDefault="00A173EF" w:rsidP="001B6215">
      <w:pPr>
        <w:jc w:val="both"/>
        <w:rPr>
          <w:rFonts w:ascii="Garamond" w:hAnsi="Garamond"/>
          <w:b/>
          <w:sz w:val="19"/>
          <w:szCs w:val="19"/>
          <w:u w:val="single"/>
        </w:rPr>
      </w:pPr>
    </w:p>
    <w:p w14:paraId="52ABD5AE" w14:textId="77777777" w:rsidR="00A173EF" w:rsidRDefault="00A173EF" w:rsidP="001B6215">
      <w:pPr>
        <w:jc w:val="both"/>
        <w:rPr>
          <w:rFonts w:ascii="Garamond" w:hAnsi="Garamond"/>
          <w:b/>
          <w:sz w:val="19"/>
          <w:szCs w:val="19"/>
          <w:u w:val="single"/>
        </w:rPr>
      </w:pPr>
    </w:p>
    <w:p w14:paraId="6F63DC34" w14:textId="77777777" w:rsidR="00A173EF" w:rsidRDefault="00A173EF" w:rsidP="001B6215">
      <w:pPr>
        <w:jc w:val="both"/>
        <w:rPr>
          <w:rFonts w:ascii="Garamond" w:hAnsi="Garamond"/>
          <w:b/>
          <w:sz w:val="19"/>
          <w:szCs w:val="19"/>
          <w:u w:val="single"/>
        </w:rPr>
      </w:pPr>
    </w:p>
    <w:p w14:paraId="57A88717" w14:textId="77777777" w:rsidR="00A173EF" w:rsidRDefault="00A173EF" w:rsidP="001B6215">
      <w:pPr>
        <w:jc w:val="both"/>
        <w:rPr>
          <w:rFonts w:ascii="Garamond" w:hAnsi="Garamond"/>
          <w:b/>
          <w:sz w:val="19"/>
          <w:szCs w:val="19"/>
          <w:u w:val="single"/>
        </w:rPr>
      </w:pPr>
    </w:p>
    <w:p w14:paraId="1D56F6F4" w14:textId="6503A39C" w:rsidR="00DD2BF3" w:rsidRPr="00A173EF" w:rsidRDefault="00DD2BF3" w:rsidP="001B6215">
      <w:pPr>
        <w:jc w:val="both"/>
        <w:rPr>
          <w:rFonts w:ascii="Garamond" w:hAnsi="Garamond"/>
          <w:b/>
          <w:sz w:val="19"/>
          <w:szCs w:val="19"/>
          <w:u w:val="single"/>
        </w:rPr>
      </w:pPr>
      <w:r w:rsidRPr="00A173EF">
        <w:rPr>
          <w:rFonts w:ascii="Garamond" w:hAnsi="Garamond"/>
          <w:b/>
          <w:sz w:val="19"/>
          <w:szCs w:val="19"/>
          <w:u w:val="single"/>
        </w:rPr>
        <w:t>DESIGNATION STATEMENT</w:t>
      </w:r>
    </w:p>
    <w:p w14:paraId="0261DC21" w14:textId="0858EB04" w:rsidR="00866F4A" w:rsidRPr="00A173EF" w:rsidRDefault="00DD2BF3" w:rsidP="001B6215">
      <w:pPr>
        <w:jc w:val="both"/>
        <w:rPr>
          <w:rFonts w:ascii="Garamond" w:hAnsi="Garamond"/>
          <w:sz w:val="19"/>
          <w:szCs w:val="19"/>
        </w:rPr>
      </w:pPr>
      <w:r w:rsidRPr="00A173EF">
        <w:rPr>
          <w:rFonts w:ascii="Garamond" w:hAnsi="Garamond"/>
          <w:sz w:val="19"/>
          <w:szCs w:val="19"/>
        </w:rPr>
        <w:t xml:space="preserve">The Yale School of Medicine designates this live activity for 1 AMA PRA Category 1 Credit(s)™.  Physicians should only claim the credit commensurate with the extent of their participation in the activity. </w:t>
      </w:r>
    </w:p>
    <w:p w14:paraId="04FF28D7" w14:textId="77777777" w:rsidR="00A173EF" w:rsidRPr="00A173EF" w:rsidRDefault="00A173EF" w:rsidP="001B6215">
      <w:pPr>
        <w:jc w:val="both"/>
        <w:rPr>
          <w:rFonts w:ascii="Garamond" w:hAnsi="Garamond"/>
          <w:b/>
          <w:sz w:val="19"/>
          <w:szCs w:val="19"/>
          <w:u w:val="single"/>
        </w:rPr>
      </w:pPr>
    </w:p>
    <w:p w14:paraId="3E5BC260" w14:textId="78B2F8C9" w:rsidR="00E65180" w:rsidRPr="00A173EF" w:rsidRDefault="001432B7" w:rsidP="001B6215">
      <w:pPr>
        <w:jc w:val="both"/>
        <w:rPr>
          <w:rFonts w:ascii="Garamond" w:hAnsi="Garamond"/>
          <w:b/>
          <w:sz w:val="19"/>
          <w:szCs w:val="19"/>
          <w:u w:val="single"/>
        </w:rPr>
      </w:pPr>
      <w:r w:rsidRPr="00A173EF">
        <w:rPr>
          <w:rFonts w:ascii="Garamond" w:hAnsi="Garamond"/>
          <w:b/>
          <w:sz w:val="19"/>
          <w:szCs w:val="19"/>
          <w:u w:val="single"/>
        </w:rPr>
        <w:t>FACULTY DISCLOSURES</w:t>
      </w:r>
      <w:r w:rsidR="00841EE6" w:rsidRPr="00A173EF">
        <w:rPr>
          <w:rFonts w:ascii="Garamond" w:hAnsi="Garamond"/>
          <w:b/>
          <w:sz w:val="19"/>
          <w:szCs w:val="19"/>
          <w:u w:val="single"/>
        </w:rPr>
        <w:t>:</w:t>
      </w:r>
      <w:r w:rsidR="00E65180" w:rsidRPr="00A173EF">
        <w:rPr>
          <w:rFonts w:ascii="Garamond" w:hAnsi="Garamond"/>
          <w:b/>
          <w:sz w:val="19"/>
          <w:szCs w:val="19"/>
          <w:u w:val="single"/>
        </w:rPr>
        <w:t xml:space="preserve">   </w:t>
      </w:r>
    </w:p>
    <w:p w14:paraId="47804C39" w14:textId="31908A43" w:rsidR="002A0E2E" w:rsidRPr="00A173EF" w:rsidRDefault="002A0E2E" w:rsidP="001B6215">
      <w:pPr>
        <w:jc w:val="both"/>
        <w:rPr>
          <w:rFonts w:ascii="Garamond" w:hAnsi="Garamond"/>
          <w:sz w:val="19"/>
          <w:szCs w:val="19"/>
        </w:rPr>
      </w:pPr>
      <w:r w:rsidRPr="00A173EF">
        <w:rPr>
          <w:rFonts w:ascii="Garamond" w:hAnsi="Garamond"/>
          <w:sz w:val="19"/>
          <w:szCs w:val="19"/>
        </w:rPr>
        <w:t xml:space="preserve">Course Director: Vincent </w:t>
      </w:r>
      <w:proofErr w:type="spellStart"/>
      <w:r w:rsidRPr="00A173EF">
        <w:rPr>
          <w:rFonts w:ascii="Garamond" w:hAnsi="Garamond"/>
          <w:sz w:val="19"/>
          <w:szCs w:val="19"/>
        </w:rPr>
        <w:t>Quagliarello</w:t>
      </w:r>
      <w:proofErr w:type="spellEnd"/>
      <w:r w:rsidRPr="00A173EF">
        <w:rPr>
          <w:rFonts w:ascii="Garamond" w:hAnsi="Garamond"/>
          <w:sz w:val="19"/>
          <w:szCs w:val="19"/>
        </w:rPr>
        <w:t>, MD - None</w:t>
      </w:r>
    </w:p>
    <w:p w14:paraId="3041912D" w14:textId="2C5F8C34" w:rsidR="005A7B39" w:rsidRPr="00A173EF" w:rsidRDefault="00766FCD" w:rsidP="001B6215">
      <w:pPr>
        <w:jc w:val="both"/>
        <w:rPr>
          <w:rFonts w:ascii="Garamond" w:hAnsi="Garamond"/>
          <w:sz w:val="19"/>
          <w:szCs w:val="19"/>
        </w:rPr>
      </w:pPr>
      <w:r w:rsidRPr="00A173EF">
        <w:rPr>
          <w:rFonts w:ascii="Garamond" w:hAnsi="Garamond"/>
          <w:sz w:val="19"/>
          <w:szCs w:val="19"/>
        </w:rPr>
        <w:t xml:space="preserve">Speaker: </w:t>
      </w:r>
      <w:r w:rsidR="00B8619C" w:rsidRPr="00A173EF">
        <w:rPr>
          <w:rFonts w:ascii="Garamond" w:hAnsi="Garamond"/>
          <w:sz w:val="19"/>
          <w:szCs w:val="19"/>
        </w:rPr>
        <w:t>Bailey Fitzgerald</w:t>
      </w:r>
      <w:r w:rsidR="00083B57" w:rsidRPr="00A173EF">
        <w:rPr>
          <w:rFonts w:ascii="Garamond" w:hAnsi="Garamond"/>
          <w:sz w:val="19"/>
          <w:szCs w:val="19"/>
        </w:rPr>
        <w:t>, MD-</w:t>
      </w:r>
      <w:r w:rsidR="00B03221" w:rsidRPr="00A173EF">
        <w:rPr>
          <w:rFonts w:ascii="Garamond" w:hAnsi="Garamond"/>
          <w:sz w:val="19"/>
          <w:szCs w:val="19"/>
        </w:rPr>
        <w:t xml:space="preserve"> None</w:t>
      </w:r>
    </w:p>
    <w:p w14:paraId="36A22B3B" w14:textId="3F936FE4" w:rsidR="00C56D8A" w:rsidRPr="00A173EF" w:rsidRDefault="00DD2BF3" w:rsidP="001B6215">
      <w:pPr>
        <w:jc w:val="both"/>
        <w:rPr>
          <w:rFonts w:ascii="Garamond" w:hAnsi="Garamond"/>
          <w:sz w:val="19"/>
          <w:szCs w:val="19"/>
        </w:rPr>
      </w:pPr>
      <w:r w:rsidRPr="00A173EF">
        <w:rPr>
          <w:rFonts w:ascii="Garamond" w:hAnsi="Garamond"/>
          <w:sz w:val="19"/>
          <w:szCs w:val="19"/>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Pr="00A173EF" w:rsidRDefault="0014523F" w:rsidP="001B6215">
      <w:pPr>
        <w:jc w:val="both"/>
        <w:rPr>
          <w:rFonts w:ascii="Garamond" w:hAnsi="Garamond"/>
          <w:sz w:val="19"/>
          <w:szCs w:val="19"/>
        </w:rPr>
      </w:pPr>
    </w:p>
    <w:p w14:paraId="23133207" w14:textId="255F9566" w:rsidR="0014523F" w:rsidRPr="00A173EF" w:rsidRDefault="0014523F" w:rsidP="0014523F">
      <w:pPr>
        <w:jc w:val="both"/>
        <w:rPr>
          <w:rFonts w:ascii="Garamond" w:hAnsi="Garamond"/>
          <w:sz w:val="19"/>
          <w:szCs w:val="19"/>
        </w:rPr>
      </w:pPr>
      <w:r w:rsidRPr="00A173EF">
        <w:rPr>
          <w:rFonts w:ascii="Garamond" w:hAnsi="Garamond"/>
          <w:sz w:val="19"/>
          <w:szCs w:val="19"/>
        </w:rPr>
        <w:t>MOC:</w:t>
      </w:r>
    </w:p>
    <w:p w14:paraId="6D48FB7E" w14:textId="3272F423" w:rsidR="0014523F" w:rsidRPr="00A173EF" w:rsidRDefault="0014523F" w:rsidP="0014523F">
      <w:pPr>
        <w:jc w:val="both"/>
        <w:rPr>
          <w:rFonts w:ascii="Garamond" w:hAnsi="Garamond"/>
          <w:sz w:val="19"/>
          <w:szCs w:val="19"/>
        </w:rPr>
      </w:pPr>
      <w:r w:rsidRPr="00A173EF">
        <w:rPr>
          <w:rFonts w:ascii="Garamond" w:hAnsi="Garamond"/>
          <w:sz w:val="19"/>
          <w:szCs w:val="19"/>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A173E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C3079" w14:textId="77777777" w:rsidR="00360EB6" w:rsidRDefault="00360EB6" w:rsidP="00C56D8A">
      <w:r>
        <w:separator/>
      </w:r>
    </w:p>
  </w:endnote>
  <w:endnote w:type="continuationSeparator" w:id="0">
    <w:p w14:paraId="0167AD93" w14:textId="77777777" w:rsidR="00360EB6" w:rsidRDefault="00360EB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1248" w14:textId="77777777" w:rsidR="00360EB6" w:rsidRDefault="00360EB6" w:rsidP="00C56D8A">
      <w:r>
        <w:separator/>
      </w:r>
    </w:p>
  </w:footnote>
  <w:footnote w:type="continuationSeparator" w:id="0">
    <w:p w14:paraId="2194A5A7" w14:textId="77777777" w:rsidR="00360EB6" w:rsidRDefault="00360EB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6215"/>
    <w:rsid w:val="001C5C49"/>
    <w:rsid w:val="001E4EB0"/>
    <w:rsid w:val="00207B34"/>
    <w:rsid w:val="00263DA5"/>
    <w:rsid w:val="00274DBF"/>
    <w:rsid w:val="002834B8"/>
    <w:rsid w:val="002A0E2E"/>
    <w:rsid w:val="002C3259"/>
    <w:rsid w:val="003206A1"/>
    <w:rsid w:val="00323830"/>
    <w:rsid w:val="00360EB6"/>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876B3"/>
    <w:rsid w:val="005A7B39"/>
    <w:rsid w:val="005C628E"/>
    <w:rsid w:val="006346C1"/>
    <w:rsid w:val="00677794"/>
    <w:rsid w:val="00711E95"/>
    <w:rsid w:val="00723DD5"/>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3985"/>
    <w:rsid w:val="00866F4A"/>
    <w:rsid w:val="0086761B"/>
    <w:rsid w:val="008D318D"/>
    <w:rsid w:val="00935EF4"/>
    <w:rsid w:val="00941C2E"/>
    <w:rsid w:val="00954871"/>
    <w:rsid w:val="009C79AA"/>
    <w:rsid w:val="009D487C"/>
    <w:rsid w:val="009E57E2"/>
    <w:rsid w:val="00A173EF"/>
    <w:rsid w:val="00A30890"/>
    <w:rsid w:val="00A46992"/>
    <w:rsid w:val="00AD5711"/>
    <w:rsid w:val="00AE26F0"/>
    <w:rsid w:val="00B03221"/>
    <w:rsid w:val="00B343B0"/>
    <w:rsid w:val="00B474CF"/>
    <w:rsid w:val="00B8619C"/>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D2BF3"/>
    <w:rsid w:val="00E166BB"/>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paragraph" w:styleId="NormalWeb">
    <w:name w:val="Normal (Web)"/>
    <w:basedOn w:val="Normal"/>
    <w:uiPriority w:val="99"/>
    <w:unhideWhenUsed/>
    <w:rsid w:val="00B032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965">
      <w:bodyDiv w:val="1"/>
      <w:marLeft w:val="0"/>
      <w:marRight w:val="0"/>
      <w:marTop w:val="0"/>
      <w:marBottom w:val="0"/>
      <w:divBdr>
        <w:top w:val="none" w:sz="0" w:space="0" w:color="auto"/>
        <w:left w:val="none" w:sz="0" w:space="0" w:color="auto"/>
        <w:bottom w:val="none" w:sz="0" w:space="0" w:color="auto"/>
        <w:right w:val="none" w:sz="0" w:space="0" w:color="auto"/>
      </w:divBdr>
      <w:divsChild>
        <w:div w:id="1558317714">
          <w:marLeft w:val="0"/>
          <w:marRight w:val="0"/>
          <w:marTop w:val="0"/>
          <w:marBottom w:val="0"/>
          <w:divBdr>
            <w:top w:val="none" w:sz="0" w:space="0" w:color="auto"/>
            <w:left w:val="none" w:sz="0" w:space="0" w:color="auto"/>
            <w:bottom w:val="none" w:sz="0" w:space="0" w:color="auto"/>
            <w:right w:val="none" w:sz="0" w:space="0" w:color="auto"/>
          </w:divBdr>
          <w:divsChild>
            <w:div w:id="1312174426">
              <w:marLeft w:val="0"/>
              <w:marRight w:val="0"/>
              <w:marTop w:val="0"/>
              <w:marBottom w:val="0"/>
              <w:divBdr>
                <w:top w:val="none" w:sz="0" w:space="0" w:color="auto"/>
                <w:left w:val="none" w:sz="0" w:space="0" w:color="auto"/>
                <w:bottom w:val="none" w:sz="0" w:space="0" w:color="auto"/>
                <w:right w:val="none" w:sz="0" w:space="0" w:color="auto"/>
              </w:divBdr>
              <w:divsChild>
                <w:div w:id="114258841">
                  <w:marLeft w:val="0"/>
                  <w:marRight w:val="0"/>
                  <w:marTop w:val="0"/>
                  <w:marBottom w:val="0"/>
                  <w:divBdr>
                    <w:top w:val="none" w:sz="0" w:space="0" w:color="auto"/>
                    <w:left w:val="none" w:sz="0" w:space="0" w:color="auto"/>
                    <w:bottom w:val="none" w:sz="0" w:space="0" w:color="auto"/>
                    <w:right w:val="none" w:sz="0" w:space="0" w:color="auto"/>
                  </w:divBdr>
                  <w:divsChild>
                    <w:div w:id="1099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0631">
      <w:bodyDiv w:val="1"/>
      <w:marLeft w:val="0"/>
      <w:marRight w:val="0"/>
      <w:marTop w:val="0"/>
      <w:marBottom w:val="0"/>
      <w:divBdr>
        <w:top w:val="none" w:sz="0" w:space="0" w:color="auto"/>
        <w:left w:val="none" w:sz="0" w:space="0" w:color="auto"/>
        <w:bottom w:val="none" w:sz="0" w:space="0" w:color="auto"/>
        <w:right w:val="none" w:sz="0" w:space="0" w:color="auto"/>
      </w:divBdr>
    </w:div>
    <w:div w:id="65764312">
      <w:bodyDiv w:val="1"/>
      <w:marLeft w:val="0"/>
      <w:marRight w:val="0"/>
      <w:marTop w:val="0"/>
      <w:marBottom w:val="0"/>
      <w:divBdr>
        <w:top w:val="none" w:sz="0" w:space="0" w:color="auto"/>
        <w:left w:val="none" w:sz="0" w:space="0" w:color="auto"/>
        <w:bottom w:val="none" w:sz="0" w:space="0" w:color="auto"/>
        <w:right w:val="none" w:sz="0" w:space="0" w:color="auto"/>
      </w:divBdr>
      <w:divsChild>
        <w:div w:id="399331701">
          <w:marLeft w:val="0"/>
          <w:marRight w:val="0"/>
          <w:marTop w:val="0"/>
          <w:marBottom w:val="0"/>
          <w:divBdr>
            <w:top w:val="none" w:sz="0" w:space="0" w:color="auto"/>
            <w:left w:val="none" w:sz="0" w:space="0" w:color="auto"/>
            <w:bottom w:val="none" w:sz="0" w:space="0" w:color="auto"/>
            <w:right w:val="none" w:sz="0" w:space="0" w:color="auto"/>
          </w:divBdr>
          <w:divsChild>
            <w:div w:id="312873425">
              <w:marLeft w:val="0"/>
              <w:marRight w:val="0"/>
              <w:marTop w:val="0"/>
              <w:marBottom w:val="0"/>
              <w:divBdr>
                <w:top w:val="none" w:sz="0" w:space="0" w:color="auto"/>
                <w:left w:val="none" w:sz="0" w:space="0" w:color="auto"/>
                <w:bottom w:val="none" w:sz="0" w:space="0" w:color="auto"/>
                <w:right w:val="none" w:sz="0" w:space="0" w:color="auto"/>
              </w:divBdr>
              <w:divsChild>
                <w:div w:id="1637181017">
                  <w:marLeft w:val="0"/>
                  <w:marRight w:val="0"/>
                  <w:marTop w:val="0"/>
                  <w:marBottom w:val="0"/>
                  <w:divBdr>
                    <w:top w:val="none" w:sz="0" w:space="0" w:color="auto"/>
                    <w:left w:val="none" w:sz="0" w:space="0" w:color="auto"/>
                    <w:bottom w:val="none" w:sz="0" w:space="0" w:color="auto"/>
                    <w:right w:val="none" w:sz="0" w:space="0" w:color="auto"/>
                  </w:divBdr>
                  <w:divsChild>
                    <w:div w:id="14676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982740013">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2019-11-25T19:25:00Z</cp:lastPrinted>
  <dcterms:created xsi:type="dcterms:W3CDTF">2019-11-21T20:06:00Z</dcterms:created>
  <dcterms:modified xsi:type="dcterms:W3CDTF">2019-11-25T19:26:00Z</dcterms:modified>
</cp:coreProperties>
</file>