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AA430" w14:textId="77777777" w:rsidR="00C24E8A" w:rsidRDefault="00C24E8A" w:rsidP="00294073">
      <w:pPr>
        <w:pStyle w:val="granted"/>
        <w:ind w:left="2160" w:firstLine="720"/>
        <w:jc w:val="center"/>
        <w:rPr>
          <w:rFonts w:ascii="Arial" w:hAnsi="Arial" w:cs="Arial"/>
          <w:b/>
          <w:bCs/>
          <w:noProof/>
          <w:color w:val="08B5E2"/>
          <w:sz w:val="24"/>
          <w:szCs w:val="24"/>
        </w:rPr>
      </w:pPr>
    </w:p>
    <w:p w14:paraId="35AF9196" w14:textId="747EBC65" w:rsidR="002F5CD3" w:rsidRPr="0023317D" w:rsidRDefault="00C07CCC" w:rsidP="00C264F7">
      <w:pPr>
        <w:pStyle w:val="granted"/>
        <w:spacing w:before="0" w:beforeAutospacing="0" w:after="0" w:afterAutospacing="0"/>
        <w:ind w:right="-270"/>
        <w:jc w:val="center"/>
        <w:rPr>
          <w:rFonts w:ascii="Arial" w:hAnsi="Arial" w:cs="Arial"/>
          <w:b/>
          <w:bCs/>
          <w:noProof/>
          <w:color w:val="00B0F0"/>
          <w:sz w:val="24"/>
          <w:szCs w:val="24"/>
        </w:rPr>
      </w:pP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Yale </w:t>
      </w:r>
      <w:r w:rsidR="002F5CD3"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GIM </w:t>
      </w:r>
      <w:r w:rsidR="00AC2C00" w:rsidRPr="00306ADE">
        <w:rPr>
          <w:rFonts w:ascii="Arial" w:hAnsi="Arial" w:cs="Arial"/>
          <w:b/>
          <w:bCs/>
          <w:noProof/>
          <w:color w:val="00B0F0"/>
          <w:sz w:val="24"/>
          <w:szCs w:val="24"/>
        </w:rPr>
        <w:t>“</w:t>
      </w:r>
      <w:r w:rsidR="00F3719D" w:rsidRPr="00306ADE">
        <w:rPr>
          <w:rFonts w:ascii="Arial" w:hAnsi="Arial" w:cs="Arial"/>
          <w:b/>
          <w:bCs/>
          <w:noProof/>
          <w:color w:val="00B0F0"/>
          <w:sz w:val="24"/>
          <w:szCs w:val="24"/>
        </w:rPr>
        <w:t>Educational Strategies &amp; Faculty Development</w:t>
      </w:r>
      <w:r w:rsidR="00AC2C00" w:rsidRPr="00306ADE">
        <w:rPr>
          <w:rFonts w:ascii="Arial" w:hAnsi="Arial" w:cs="Arial"/>
          <w:b/>
          <w:bCs/>
          <w:noProof/>
          <w:color w:val="00B0F0"/>
          <w:sz w:val="24"/>
          <w:szCs w:val="24"/>
        </w:rPr>
        <w:t>”</w:t>
      </w:r>
      <w:r w:rsidR="00F3719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 </w:t>
      </w:r>
      <w:r w:rsidR="002F5CD3"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>Meeting</w:t>
      </w:r>
    </w:p>
    <w:p w14:paraId="2B70E995" w14:textId="544B0F85" w:rsidR="002F5CD3" w:rsidRPr="0023317D" w:rsidRDefault="002F5CD3" w:rsidP="00C264F7">
      <w:pPr>
        <w:pStyle w:val="granted"/>
        <w:spacing w:before="0" w:beforeAutospacing="0" w:after="0" w:afterAutospacing="0"/>
        <w:ind w:right="-270"/>
        <w:jc w:val="center"/>
        <w:rPr>
          <w:rFonts w:ascii="Arial" w:hAnsi="Arial" w:cs="Arial"/>
          <w:b/>
          <w:bCs/>
          <w:noProof/>
          <w:color w:val="00B0F0"/>
          <w:sz w:val="20"/>
          <w:szCs w:val="20"/>
        </w:rPr>
      </w:pPr>
      <w:r w:rsidRPr="0023317D">
        <w:rPr>
          <w:rFonts w:ascii="Arial" w:hAnsi="Arial" w:cs="Arial"/>
          <w:b/>
          <w:bCs/>
          <w:noProof/>
          <w:color w:val="00B0F0"/>
          <w:sz w:val="20"/>
          <w:szCs w:val="20"/>
        </w:rPr>
        <w:t>Presented by</w:t>
      </w:r>
    </w:p>
    <w:p w14:paraId="79C43A45" w14:textId="77777777" w:rsidR="002F5CD3" w:rsidRPr="0023317D" w:rsidRDefault="002F5CD3" w:rsidP="00C264F7">
      <w:pPr>
        <w:pStyle w:val="granted"/>
        <w:spacing w:before="0" w:beforeAutospacing="0" w:after="0" w:afterAutospacing="0"/>
        <w:ind w:right="-270"/>
        <w:jc w:val="center"/>
        <w:rPr>
          <w:rFonts w:ascii="Arial" w:hAnsi="Arial" w:cs="Arial"/>
          <w:b/>
          <w:bCs/>
          <w:noProof/>
          <w:color w:val="00B0F0"/>
          <w:sz w:val="24"/>
          <w:szCs w:val="24"/>
        </w:rPr>
      </w:pP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>Yale School of Medicine’s Department of Internal Medicine</w:t>
      </w:r>
    </w:p>
    <w:p w14:paraId="393D6E88" w14:textId="17D595A8" w:rsidR="0084238D" w:rsidRPr="002F5CD3" w:rsidRDefault="002F5CD3" w:rsidP="00C264F7">
      <w:pPr>
        <w:pStyle w:val="granted"/>
        <w:spacing w:before="0" w:beforeAutospacing="0" w:after="0" w:afterAutospacing="0"/>
        <w:ind w:right="-270"/>
        <w:jc w:val="center"/>
        <w:rPr>
          <w:rFonts w:ascii="Arial" w:hAnsi="Arial" w:cs="Arial"/>
          <w:b/>
          <w:bCs/>
          <w:color w:val="08B5E2"/>
          <w:sz w:val="24"/>
          <w:szCs w:val="24"/>
        </w:rPr>
      </w:pP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>Section of General</w:t>
      </w:r>
      <w:r w:rsidR="00C07CCC"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 Internal</w:t>
      </w: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 Medicine</w:t>
      </w:r>
    </w:p>
    <w:p w14:paraId="7C2263C3" w14:textId="77777777" w:rsidR="00BC4983" w:rsidRDefault="00BC4983" w:rsidP="00B70F23">
      <w:pPr>
        <w:spacing w:after="200"/>
        <w:ind w:right="-180"/>
        <w:rPr>
          <w:rFonts w:ascii="Georgia" w:eastAsia="Cambria" w:hAnsi="Georgia"/>
          <w:b/>
          <w:bCs/>
          <w:noProof/>
          <w:color w:val="0078BF"/>
          <w:sz w:val="28"/>
          <w:szCs w:val="28"/>
        </w:rPr>
      </w:pPr>
    </w:p>
    <w:p w14:paraId="3C4D9C67" w14:textId="77777777" w:rsidR="00B70F23" w:rsidRDefault="00B70F23" w:rsidP="00B70F23">
      <w:pPr>
        <w:ind w:left="-90"/>
        <w:jc w:val="center"/>
        <w:rPr>
          <w:rFonts w:ascii="Georgia" w:eastAsia="Cambria" w:hAnsi="Georgia"/>
          <w:b/>
          <w:bCs/>
          <w:noProof/>
          <w:color w:val="0078BF"/>
          <w:sz w:val="28"/>
          <w:szCs w:val="28"/>
        </w:rPr>
      </w:pPr>
      <w:r w:rsidRPr="00B70F23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>“Separate Adult Primary Care for Patients with Medicaid at US Academic Health Centers”</w:t>
      </w:r>
    </w:p>
    <w:p w14:paraId="62A229A0" w14:textId="4C5036A8" w:rsidR="00294073" w:rsidRDefault="00306ADE" w:rsidP="00306ADE">
      <w:pPr>
        <w:ind w:left="-90" w:firstLine="1530"/>
        <w:jc w:val="center"/>
        <w:rPr>
          <w:rFonts w:ascii="Arial" w:eastAsia="Cambria" w:hAnsi="Arial" w:cs="Arial"/>
          <w:b/>
          <w:bCs/>
          <w:sz w:val="32"/>
          <w:szCs w:val="32"/>
        </w:rPr>
      </w:pPr>
      <w:r>
        <w:rPr>
          <w:rFonts w:ascii="Arial" w:eastAsia="Cambria" w:hAnsi="Arial" w:cs="Arial"/>
          <w:b/>
          <w:bCs/>
          <w:sz w:val="32"/>
          <w:szCs w:val="32"/>
        </w:rPr>
        <w:t xml:space="preserve">              </w:t>
      </w:r>
    </w:p>
    <w:tbl>
      <w:tblPr>
        <w:tblStyle w:val="TableGrid"/>
        <w:tblW w:w="17910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  <w:gridCol w:w="9270"/>
      </w:tblGrid>
      <w:tr w:rsidR="005D6642" w14:paraId="4FDA5173" w14:textId="3F798806" w:rsidTr="004C04A1">
        <w:trPr>
          <w:trHeight w:val="2939"/>
        </w:trPr>
        <w:tc>
          <w:tcPr>
            <w:tcW w:w="8640" w:type="dxa"/>
          </w:tcPr>
          <w:p w14:paraId="505487AB" w14:textId="1F02A553" w:rsidR="005D6642" w:rsidRDefault="004C04A1" w:rsidP="00306ADE">
            <w:pPr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  <w:r w:rsidRPr="00E736BB">
              <w:rPr>
                <w:rFonts w:ascii="Arial" w:eastAsia="Cambria" w:hAnsi="Arial" w:cs="Arial"/>
                <w:b/>
                <w:bCs/>
                <w:noProof/>
                <w:sz w:val="32"/>
                <w:szCs w:val="32"/>
                <w:highlight w:val="yellow"/>
              </w:rPr>
              <w:drawing>
                <wp:anchor distT="0" distB="0" distL="114300" distR="114300" simplePos="0" relativeHeight="251661312" behindDoc="1" locked="0" layoutInCell="1" allowOverlap="1" wp14:anchorId="7710023E" wp14:editId="23BF154E">
                  <wp:simplePos x="0" y="0"/>
                  <wp:positionH relativeFrom="column">
                    <wp:posOffset>368935</wp:posOffset>
                  </wp:positionH>
                  <wp:positionV relativeFrom="paragraph">
                    <wp:posOffset>104140</wp:posOffset>
                  </wp:positionV>
                  <wp:extent cx="1228725" cy="1842770"/>
                  <wp:effectExtent l="19050" t="19050" r="28575" b="2413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84277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2A2FD40" w14:textId="77777777" w:rsidR="00B70F23" w:rsidRDefault="00B70F23" w:rsidP="00465AD5">
            <w:pPr>
              <w:ind w:left="2055" w:right="-285"/>
              <w:jc w:val="center"/>
              <w:rPr>
                <w:rFonts w:ascii="Arial" w:eastAsia="Cambria" w:hAnsi="Arial" w:cs="Arial"/>
                <w:b/>
                <w:bCs/>
                <w:sz w:val="32"/>
                <w:szCs w:val="32"/>
              </w:rPr>
            </w:pPr>
          </w:p>
          <w:p w14:paraId="1D0C10E9" w14:textId="77777777" w:rsidR="004A34C0" w:rsidRDefault="00B70F23" w:rsidP="004A34C0">
            <w:pPr>
              <w:ind w:left="2055" w:right="-285"/>
              <w:jc w:val="center"/>
              <w:rPr>
                <w:rFonts w:ascii="Arial" w:eastAsia="Cambria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Cambria" w:hAnsi="Arial" w:cs="Arial"/>
                <w:b/>
                <w:bCs/>
                <w:sz w:val="32"/>
                <w:szCs w:val="32"/>
              </w:rPr>
              <w:t>Walter</w:t>
            </w:r>
            <w:r w:rsidR="004C04A1" w:rsidRPr="004C04A1">
              <w:rPr>
                <w:rFonts w:ascii="Arial" w:eastAsia="Cambria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eastAsia="Cambria" w:hAnsi="Arial" w:cs="Arial"/>
                <w:b/>
                <w:bCs/>
                <w:sz w:val="32"/>
                <w:szCs w:val="32"/>
              </w:rPr>
              <w:t>Kernan</w:t>
            </w:r>
            <w:r w:rsidR="005D6642" w:rsidRPr="00AB0B5C">
              <w:rPr>
                <w:rFonts w:ascii="Arial" w:eastAsia="Cambria" w:hAnsi="Arial" w:cs="Arial"/>
                <w:b/>
                <w:bCs/>
                <w:sz w:val="32"/>
                <w:szCs w:val="32"/>
              </w:rPr>
              <w:t>, MD</w:t>
            </w:r>
          </w:p>
          <w:p w14:paraId="32C9F08E" w14:textId="77777777" w:rsidR="004A34C0" w:rsidRDefault="004A34C0" w:rsidP="004A34C0">
            <w:pPr>
              <w:ind w:left="2055" w:right="-285"/>
              <w:jc w:val="center"/>
              <w:rPr>
                <w:rFonts w:ascii="Arial" w:eastAsia="Cambria" w:hAnsi="Arial" w:cs="Arial"/>
                <w:b/>
                <w:bCs/>
                <w:sz w:val="32"/>
                <w:szCs w:val="32"/>
              </w:rPr>
            </w:pPr>
          </w:p>
          <w:p w14:paraId="57851149" w14:textId="72F16C05" w:rsidR="00465AD5" w:rsidRDefault="004C04A1" w:rsidP="004A34C0">
            <w:pPr>
              <w:ind w:left="2055" w:right="-285"/>
              <w:jc w:val="center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  <w:r w:rsidRPr="004C04A1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Professor</w:t>
            </w:r>
            <w:r w:rsidR="006900C3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,</w:t>
            </w:r>
            <w:r w:rsidRPr="004C04A1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 xml:space="preserve"> Yale School of Medicine</w:t>
            </w:r>
          </w:p>
          <w:p w14:paraId="1E8318F1" w14:textId="77777777" w:rsidR="00465AD5" w:rsidRDefault="00465AD5" w:rsidP="00465AD5">
            <w:pPr>
              <w:ind w:left="-915" w:right="-285"/>
              <w:jc w:val="center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</w:p>
          <w:p w14:paraId="68D85FA6" w14:textId="553FDC6A" w:rsidR="005D6642" w:rsidRPr="00294073" w:rsidRDefault="005D6642" w:rsidP="00465AD5">
            <w:pPr>
              <w:ind w:left="-915" w:right="-285"/>
              <w:jc w:val="center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70" w:type="dxa"/>
          </w:tcPr>
          <w:p w14:paraId="34641297" w14:textId="77777777" w:rsidR="005D6642" w:rsidRPr="00E736BB" w:rsidRDefault="005D6642" w:rsidP="004C04A1">
            <w:pPr>
              <w:ind w:left="-285"/>
              <w:rPr>
                <w:rFonts w:ascii="Arial" w:eastAsia="Cambria" w:hAnsi="Arial" w:cs="Arial"/>
                <w:b/>
                <w:bCs/>
                <w:noProof/>
                <w:sz w:val="32"/>
                <w:szCs w:val="32"/>
                <w:highlight w:val="yellow"/>
              </w:rPr>
            </w:pPr>
          </w:p>
        </w:tc>
      </w:tr>
    </w:tbl>
    <w:p w14:paraId="6042713C" w14:textId="77777777" w:rsidR="004A34C0" w:rsidRPr="004A34C0" w:rsidRDefault="004A34C0" w:rsidP="0084492D">
      <w:pPr>
        <w:spacing w:after="200"/>
        <w:ind w:left="-180" w:firstLine="180"/>
        <w:jc w:val="center"/>
        <w:rPr>
          <w:rFonts w:ascii="Arial" w:eastAsia="Cambria" w:hAnsi="Arial"/>
          <w:b/>
          <w:bCs/>
          <w:noProof/>
          <w:sz w:val="10"/>
          <w:szCs w:val="10"/>
        </w:rPr>
      </w:pPr>
    </w:p>
    <w:p w14:paraId="505228E3" w14:textId="74A104CF" w:rsidR="0084238D" w:rsidRPr="002F5CD3" w:rsidRDefault="0084238D" w:rsidP="0084492D">
      <w:pPr>
        <w:spacing w:after="200"/>
        <w:ind w:left="-180" w:firstLine="180"/>
        <w:jc w:val="center"/>
        <w:rPr>
          <w:rFonts w:ascii="Arial" w:eastAsia="Cambria" w:hAnsi="Arial"/>
          <w:b/>
          <w:bCs/>
          <w:noProof/>
          <w:sz w:val="24"/>
          <w:szCs w:val="24"/>
        </w:rPr>
      </w:pPr>
      <w:r w:rsidRPr="002F5CD3">
        <w:rPr>
          <w:rFonts w:ascii="Arial" w:eastAsia="Cambria" w:hAnsi="Arial"/>
          <w:b/>
          <w:bCs/>
          <w:noProof/>
          <w:sz w:val="24"/>
          <w:szCs w:val="24"/>
        </w:rPr>
        <w:t xml:space="preserve">Date: </w:t>
      </w:r>
      <w:r w:rsidR="00465AD5">
        <w:rPr>
          <w:rFonts w:ascii="Arial" w:eastAsia="Cambria" w:hAnsi="Arial"/>
          <w:b/>
          <w:bCs/>
          <w:noProof/>
          <w:sz w:val="24"/>
          <w:szCs w:val="24"/>
        </w:rPr>
        <w:t>June</w:t>
      </w:r>
      <w:r w:rsidR="00306ADE">
        <w:rPr>
          <w:rFonts w:ascii="Arial" w:eastAsia="Cambria" w:hAnsi="Arial"/>
          <w:b/>
          <w:bCs/>
          <w:noProof/>
          <w:sz w:val="24"/>
          <w:szCs w:val="24"/>
        </w:rPr>
        <w:t xml:space="preserve"> </w:t>
      </w:r>
      <w:r w:rsidR="00B70F23">
        <w:rPr>
          <w:rFonts w:ascii="Arial" w:eastAsia="Cambria" w:hAnsi="Arial"/>
          <w:b/>
          <w:bCs/>
          <w:noProof/>
          <w:sz w:val="24"/>
          <w:szCs w:val="24"/>
        </w:rPr>
        <w:t>16</w:t>
      </w:r>
      <w:r w:rsidR="00306ADE">
        <w:rPr>
          <w:rFonts w:ascii="Arial" w:eastAsia="Cambria" w:hAnsi="Arial"/>
          <w:b/>
          <w:bCs/>
          <w:noProof/>
          <w:sz w:val="24"/>
          <w:szCs w:val="24"/>
        </w:rPr>
        <w:t>, 2022</w:t>
      </w:r>
      <w:r w:rsidR="00C24E8A">
        <w:rPr>
          <w:rFonts w:ascii="Arial" w:eastAsia="Cambria" w:hAnsi="Arial"/>
          <w:b/>
          <w:bCs/>
          <w:noProof/>
          <w:sz w:val="24"/>
          <w:szCs w:val="24"/>
        </w:rPr>
        <w:t xml:space="preserve"> </w:t>
      </w:r>
      <w:r w:rsidRPr="002F5CD3">
        <w:rPr>
          <w:rFonts w:ascii="Arial" w:eastAsia="Cambria" w:hAnsi="Arial"/>
          <w:b/>
          <w:bCs/>
          <w:noProof/>
          <w:sz w:val="24"/>
          <w:szCs w:val="24"/>
        </w:rPr>
        <w:t>12:00pm – 1:00pm</w:t>
      </w:r>
    </w:p>
    <w:p w14:paraId="4CF688CF" w14:textId="4D5E0915" w:rsidR="002F5CD3" w:rsidRDefault="0084238D" w:rsidP="0084492D">
      <w:pPr>
        <w:spacing w:after="200"/>
        <w:ind w:left="-180" w:firstLine="180"/>
        <w:jc w:val="center"/>
        <w:rPr>
          <w:rFonts w:ascii="Arial" w:eastAsia="Cambria" w:hAnsi="Arial"/>
          <w:noProof/>
          <w:sz w:val="22"/>
          <w:szCs w:val="22"/>
        </w:rPr>
      </w:pPr>
      <w:r w:rsidRPr="0084238D">
        <w:rPr>
          <w:rFonts w:ascii="Arial" w:eastAsia="Cambria" w:hAnsi="Arial"/>
          <w:noProof/>
          <w:sz w:val="22"/>
          <w:szCs w:val="22"/>
        </w:rPr>
        <w:t xml:space="preserve">Zoom: </w:t>
      </w:r>
      <w:hyperlink r:id="rId7" w:history="1">
        <w:r w:rsidR="00C264F7" w:rsidRPr="001A1F69">
          <w:rPr>
            <w:rStyle w:val="Hyperlink"/>
            <w:rFonts w:ascii="Arial" w:eastAsia="Cambria" w:hAnsi="Arial"/>
            <w:noProof/>
            <w:sz w:val="22"/>
            <w:szCs w:val="22"/>
          </w:rPr>
          <w:t>https://zoom.us/j/95746029979?pwd=QzhPa1FycWYxZFVHT3ZtYlYzN1p3UT09</w:t>
        </w:r>
      </w:hyperlink>
      <w:r w:rsidR="00C264F7">
        <w:rPr>
          <w:rFonts w:ascii="Arial" w:eastAsia="Cambria" w:hAnsi="Arial"/>
          <w:noProof/>
          <w:sz w:val="22"/>
          <w:szCs w:val="22"/>
        </w:rPr>
        <w:t xml:space="preserve"> </w:t>
      </w:r>
    </w:p>
    <w:p w14:paraId="7537EEEF" w14:textId="056F06DB" w:rsidR="0084238D" w:rsidRPr="0084238D" w:rsidRDefault="009C0AAD" w:rsidP="004A34C0">
      <w:pPr>
        <w:ind w:left="-180" w:firstLine="180"/>
        <w:jc w:val="center"/>
        <w:rPr>
          <w:rFonts w:ascii="Arial" w:eastAsia="Cambria" w:hAnsi="Arial" w:cs="Arial"/>
          <w:b/>
          <w:bCs/>
          <w:sz w:val="22"/>
          <w:szCs w:val="22"/>
        </w:rPr>
      </w:pPr>
      <w:r w:rsidRPr="00AC4DCE">
        <w:rPr>
          <w:rFonts w:ascii="Arial" w:eastAsia="Cambria" w:hAnsi="Arial" w:cs="Arial"/>
          <w:b/>
          <w:bCs/>
          <w:iCs/>
          <w:sz w:val="22"/>
          <w:szCs w:val="22"/>
        </w:rPr>
        <w:t xml:space="preserve">Texting code for today’s session: </w:t>
      </w:r>
      <w:r w:rsidR="00A81D8E">
        <w:rPr>
          <w:rFonts w:ascii="Arial" w:eastAsia="Cambria" w:hAnsi="Arial" w:cs="Arial"/>
          <w:b/>
          <w:bCs/>
          <w:iCs/>
          <w:sz w:val="22"/>
          <w:szCs w:val="22"/>
        </w:rPr>
        <w:t>TBD</w:t>
      </w:r>
      <w:r w:rsidR="0084238D" w:rsidRPr="0084238D">
        <w:rPr>
          <w:rFonts w:ascii="Arial" w:eastAsia="Cambria" w:hAnsi="Arial" w:cs="Arial"/>
          <w:b/>
          <w:bCs/>
          <w:sz w:val="22"/>
          <w:szCs w:val="22"/>
        </w:rPr>
        <w:t xml:space="preserve">                             </w:t>
      </w:r>
    </w:p>
    <w:p w14:paraId="4A37BC3D" w14:textId="77777777" w:rsidR="00815D62" w:rsidRDefault="00815D62" w:rsidP="004A34C0">
      <w:pPr>
        <w:ind w:left="-180" w:firstLine="180"/>
        <w:jc w:val="center"/>
        <w:rPr>
          <w:rFonts w:ascii="Arial" w:eastAsia="Cambria" w:hAnsi="Arial" w:cs="Arial"/>
          <w:b/>
          <w:bCs/>
          <w:sz w:val="22"/>
          <w:szCs w:val="22"/>
        </w:rPr>
      </w:pPr>
    </w:p>
    <w:p w14:paraId="70644371" w14:textId="5E5DA960" w:rsidR="0084238D" w:rsidRPr="0084238D" w:rsidRDefault="0084238D" w:rsidP="004A34C0">
      <w:pPr>
        <w:ind w:left="-180" w:firstLine="180"/>
        <w:jc w:val="center"/>
        <w:rPr>
          <w:rFonts w:ascii="Arial" w:eastAsia="Cambria" w:hAnsi="Arial" w:cs="Arial"/>
          <w:b/>
          <w:bCs/>
          <w:sz w:val="22"/>
          <w:szCs w:val="22"/>
        </w:rPr>
      </w:pPr>
      <w:r w:rsidRPr="0084238D">
        <w:rPr>
          <w:rFonts w:ascii="Arial" w:eastAsia="Cambria" w:hAnsi="Arial" w:cs="Arial"/>
          <w:b/>
          <w:bCs/>
          <w:sz w:val="22"/>
          <w:szCs w:val="22"/>
        </w:rPr>
        <w:t>Course Director/Host: Patrick G. O’Connor, MD, MPH, 203-688-6532</w:t>
      </w:r>
    </w:p>
    <w:p w14:paraId="517C42A8" w14:textId="57EF5C2C" w:rsidR="0084238D" w:rsidRPr="002F5CD3" w:rsidRDefault="0084238D" w:rsidP="0084492D">
      <w:pPr>
        <w:ind w:left="-180" w:firstLine="180"/>
        <w:jc w:val="center"/>
        <w:rPr>
          <w:rFonts w:ascii="Arial" w:eastAsia="Cambria" w:hAnsi="Arial" w:cs="Arial"/>
          <w:b/>
          <w:bCs/>
          <w:i/>
          <w:iCs/>
          <w:color w:val="FF0000"/>
          <w:sz w:val="22"/>
          <w:szCs w:val="22"/>
        </w:rPr>
      </w:pPr>
      <w:r w:rsidRPr="002F5CD3">
        <w:rPr>
          <w:rFonts w:ascii="Arial" w:eastAsia="Cambria" w:hAnsi="Arial" w:cs="Arial"/>
          <w:b/>
          <w:bCs/>
          <w:i/>
          <w:iCs/>
          <w:color w:val="FF0000"/>
          <w:sz w:val="22"/>
          <w:szCs w:val="22"/>
        </w:rPr>
        <w:t>There is no corporate or commercial support for this activity</w:t>
      </w:r>
    </w:p>
    <w:p w14:paraId="2E9080EC" w14:textId="77777777" w:rsidR="00693E53" w:rsidRDefault="00693E53"/>
    <w:tbl>
      <w:tblPr>
        <w:tblStyle w:val="ListTable5Dark-Accent51"/>
        <w:tblW w:w="9870" w:type="dxa"/>
        <w:tblLook w:val="04A0" w:firstRow="1" w:lastRow="0" w:firstColumn="1" w:lastColumn="0" w:noHBand="0" w:noVBand="1"/>
      </w:tblPr>
      <w:tblGrid>
        <w:gridCol w:w="9870"/>
      </w:tblGrid>
      <w:tr w:rsidR="00693E53" w14:paraId="7C5E7BFE" w14:textId="77777777" w:rsidTr="001F5A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70" w:type="dxa"/>
            <w:tcBorders>
              <w:right w:val="single" w:sz="4" w:space="0" w:color="FFFFFF" w:themeColor="background1"/>
            </w:tcBorders>
          </w:tcPr>
          <w:p w14:paraId="5CE2EC54" w14:textId="77777777" w:rsidR="008F5709" w:rsidRPr="00CC0ABE" w:rsidRDefault="009C0AAD" w:rsidP="008F5709">
            <w:pPr>
              <w:spacing w:before="120" w:after="120"/>
              <w:rPr>
                <w:rFonts w:ascii="Arial" w:eastAsia="Cambria" w:hAnsi="Arial" w:cs="Arial"/>
              </w:rPr>
            </w:pPr>
            <w:r w:rsidRPr="00BE57F4">
              <w:rPr>
                <w:rFonts w:ascii="Arial" w:eastAsia="Cambria" w:hAnsi="Arial" w:cs="Arial"/>
              </w:rPr>
              <w:t>Program Goal:</w:t>
            </w:r>
            <w:r w:rsidRPr="00CC0ABE">
              <w:rPr>
                <w:rFonts w:ascii="Arial" w:eastAsia="Cambria" w:hAnsi="Arial" w:cs="Arial"/>
              </w:rPr>
              <w:t xml:space="preserve"> </w:t>
            </w:r>
          </w:p>
          <w:p w14:paraId="054E3C6F" w14:textId="2B0C385E" w:rsidR="00B70F23" w:rsidRPr="00B70F23" w:rsidRDefault="00B70F23" w:rsidP="00B70F23">
            <w:pPr>
              <w:spacing w:after="120"/>
              <w:rPr>
                <w:rFonts w:ascii="Arial" w:eastAsia="Cambria" w:hAnsi="Arial" w:cs="Arial"/>
                <w:b w:val="0"/>
                <w:bCs w:val="0"/>
                <w:noProof/>
              </w:rPr>
            </w:pPr>
            <w:r w:rsidRPr="00B70F23">
              <w:rPr>
                <w:rFonts w:ascii="Arial" w:eastAsia="Cambria" w:hAnsi="Arial" w:cs="Arial"/>
                <w:b w:val="0"/>
                <w:bCs w:val="0"/>
                <w:noProof/>
              </w:rPr>
              <w:t>1.</w:t>
            </w:r>
            <w:r>
              <w:rPr>
                <w:rFonts w:ascii="Arial" w:eastAsia="Cambria" w:hAnsi="Arial" w:cs="Arial"/>
                <w:b w:val="0"/>
                <w:bCs w:val="0"/>
                <w:noProof/>
              </w:rPr>
              <w:t xml:space="preserve"> </w:t>
            </w:r>
            <w:r w:rsidRPr="00B70F23">
              <w:rPr>
                <w:rFonts w:ascii="Arial" w:eastAsia="Cambria" w:hAnsi="Arial" w:cs="Arial"/>
                <w:b w:val="0"/>
                <w:bCs w:val="0"/>
                <w:noProof/>
              </w:rPr>
              <w:t>State the percent of US academic health centers that maintain at least two adult primary care clinics that differ substantially in the proportion of patients with Medicaid coverage</w:t>
            </w:r>
          </w:p>
          <w:p w14:paraId="25712626" w14:textId="0B26A073" w:rsidR="00B70F23" w:rsidRPr="00B70F23" w:rsidRDefault="00B70F23" w:rsidP="00B70F23">
            <w:pPr>
              <w:spacing w:after="120"/>
              <w:rPr>
                <w:rFonts w:ascii="Arial" w:eastAsia="Cambria" w:hAnsi="Arial" w:cs="Arial"/>
                <w:b w:val="0"/>
                <w:bCs w:val="0"/>
                <w:noProof/>
              </w:rPr>
            </w:pPr>
            <w:r w:rsidRPr="00B70F23">
              <w:rPr>
                <w:rFonts w:ascii="Arial" w:eastAsia="Cambria" w:hAnsi="Arial" w:cs="Arial"/>
                <w:b w:val="0"/>
                <w:bCs w:val="0"/>
                <w:noProof/>
              </w:rPr>
              <w:t>2.</w:t>
            </w:r>
            <w:r>
              <w:rPr>
                <w:rFonts w:ascii="Arial" w:eastAsia="Cambria" w:hAnsi="Arial" w:cs="Arial"/>
                <w:b w:val="0"/>
                <w:bCs w:val="0"/>
                <w:noProof/>
              </w:rPr>
              <w:t xml:space="preserve"> </w:t>
            </w:r>
            <w:r w:rsidRPr="00B70F23">
              <w:rPr>
                <w:rFonts w:ascii="Arial" w:eastAsia="Cambria" w:hAnsi="Arial" w:cs="Arial"/>
                <w:b w:val="0"/>
                <w:bCs w:val="0"/>
                <w:noProof/>
              </w:rPr>
              <w:t>Describe how the presence and role of residents is different in clinics with high and low proportions of patients with Medicaid at US academic health centers</w:t>
            </w:r>
          </w:p>
          <w:p w14:paraId="21ACC717" w14:textId="0E9BA2FE" w:rsidR="008F5709" w:rsidRPr="00465AD5" w:rsidRDefault="00B70F23" w:rsidP="00B70F23">
            <w:pPr>
              <w:spacing w:after="120"/>
              <w:rPr>
                <w:rFonts w:ascii="Arial" w:eastAsia="Cambria" w:hAnsi="Arial" w:cs="Arial"/>
                <w:b w:val="0"/>
                <w:bCs w:val="0"/>
                <w:noProof/>
              </w:rPr>
            </w:pPr>
            <w:r w:rsidRPr="00B70F23">
              <w:rPr>
                <w:rFonts w:ascii="Arial" w:eastAsia="Cambria" w:hAnsi="Arial" w:cs="Arial"/>
                <w:b w:val="0"/>
                <w:bCs w:val="0"/>
                <w:noProof/>
              </w:rPr>
              <w:t>3.</w:t>
            </w:r>
            <w:r>
              <w:rPr>
                <w:rFonts w:ascii="Arial" w:eastAsia="Cambria" w:hAnsi="Arial" w:cs="Arial"/>
                <w:b w:val="0"/>
                <w:bCs w:val="0"/>
                <w:noProof/>
              </w:rPr>
              <w:t xml:space="preserve"> </w:t>
            </w:r>
            <w:r w:rsidRPr="00B70F23">
              <w:rPr>
                <w:rFonts w:ascii="Arial" w:eastAsia="Cambria" w:hAnsi="Arial" w:cs="Arial"/>
                <w:b w:val="0"/>
                <w:bCs w:val="0"/>
                <w:noProof/>
              </w:rPr>
              <w:t>State three potential reasons why some US academic health centers maintain clinics that differ in the proportion of patients with Medicaid</w:t>
            </w:r>
          </w:p>
        </w:tc>
      </w:tr>
      <w:tr w:rsidR="00693E53" w14:paraId="3C2F06E5" w14:textId="77777777" w:rsidTr="001F5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0" w:type="dxa"/>
          </w:tcPr>
          <w:p w14:paraId="4FC7B9C8" w14:textId="3486CCFB" w:rsidR="008F5709" w:rsidRPr="00C264F7" w:rsidRDefault="00BE57F4" w:rsidP="008F5709">
            <w:pPr>
              <w:spacing w:before="120" w:after="200"/>
              <w:rPr>
                <w:rFonts w:ascii="Arial" w:eastAsia="Cambria" w:hAnsi="Arial" w:cs="Arial"/>
                <w:sz w:val="16"/>
                <w:szCs w:val="16"/>
              </w:rPr>
            </w:pPr>
            <w:r w:rsidRPr="00C264F7">
              <w:rPr>
                <w:rFonts w:ascii="Arial" w:eastAsia="Cambria" w:hAnsi="Arial" w:cs="Arial"/>
                <w:sz w:val="16"/>
                <w:szCs w:val="16"/>
              </w:rPr>
              <w:t>Target Audience: Medical Professionals</w:t>
            </w:r>
          </w:p>
        </w:tc>
      </w:tr>
    </w:tbl>
    <w:p w14:paraId="65CE0DDA" w14:textId="77777777" w:rsidR="00815D62" w:rsidRDefault="00815D62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</w:p>
    <w:p w14:paraId="472CD6E8" w14:textId="13036F88" w:rsidR="00C24E8A" w:rsidRDefault="00BE57F4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BE57F4">
        <w:rPr>
          <w:rFonts w:ascii="Arial" w:eastAsia="Cambria" w:hAnsi="Arial" w:cs="Arial"/>
          <w:i/>
          <w:sz w:val="16"/>
          <w:szCs w:val="16"/>
        </w:rPr>
        <w:t xml:space="preserve">Financial Disclosure </w:t>
      </w:r>
      <w:r w:rsidRPr="00C264F7">
        <w:rPr>
          <w:rFonts w:ascii="Arial" w:eastAsia="Cambria" w:hAnsi="Arial" w:cs="Arial"/>
          <w:i/>
          <w:sz w:val="16"/>
          <w:szCs w:val="16"/>
        </w:rPr>
        <w:t xml:space="preserve">Information: Dr. </w:t>
      </w:r>
      <w:r w:rsidR="00B70F23">
        <w:rPr>
          <w:rFonts w:ascii="Arial" w:eastAsia="Cambria" w:hAnsi="Arial" w:cs="Arial"/>
          <w:i/>
          <w:sz w:val="16"/>
          <w:szCs w:val="16"/>
        </w:rPr>
        <w:t>Kernan</w:t>
      </w:r>
      <w:r w:rsidR="00B125BF" w:rsidRPr="00C264F7">
        <w:rPr>
          <w:rFonts w:ascii="Arial" w:eastAsia="Cambria" w:hAnsi="Arial" w:cs="Arial"/>
          <w:i/>
          <w:sz w:val="16"/>
          <w:szCs w:val="16"/>
        </w:rPr>
        <w:t xml:space="preserve"> </w:t>
      </w:r>
      <w:r w:rsidRPr="00C264F7">
        <w:rPr>
          <w:rFonts w:ascii="Arial" w:eastAsia="Cambria" w:hAnsi="Arial" w:cs="Arial"/>
          <w:i/>
          <w:sz w:val="16"/>
          <w:szCs w:val="16"/>
        </w:rPr>
        <w:t>has no relevant financial relationship(s)</w:t>
      </w:r>
      <w:r w:rsidRPr="00BE57F4">
        <w:rPr>
          <w:rFonts w:ascii="Arial" w:eastAsia="Cambria" w:hAnsi="Arial" w:cs="Arial"/>
          <w:i/>
          <w:sz w:val="16"/>
          <w:szCs w:val="16"/>
        </w:rPr>
        <w:t xml:space="preserve"> with ineligible companies to disclose.</w:t>
      </w:r>
    </w:p>
    <w:p w14:paraId="44F646D1" w14:textId="1CA0280A" w:rsidR="00C24E8A" w:rsidRDefault="009C0AAD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>Accreditation Statement: Yale School of Medicine is accredited by the Accreditation Council for Continuing Medical Education (ACCME) to provide continuing medical education for physicians.</w:t>
      </w:r>
      <w:r w:rsidR="00C24E8A">
        <w:rPr>
          <w:rFonts w:ascii="Arial" w:eastAsia="Cambria" w:hAnsi="Arial" w:cs="Arial"/>
          <w:i/>
          <w:sz w:val="16"/>
          <w:szCs w:val="16"/>
        </w:rPr>
        <w:t xml:space="preserve"> </w:t>
      </w:r>
    </w:p>
    <w:p w14:paraId="1119AB61" w14:textId="0CCA38EB" w:rsidR="00C86889" w:rsidRPr="00512139" w:rsidRDefault="009C0AAD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 xml:space="preserve">Designation Statement: Yale School of Medicine designates this </w:t>
      </w:r>
      <w:r>
        <w:rPr>
          <w:rFonts w:ascii="Arial" w:eastAsia="Cambria" w:hAnsi="Arial" w:cs="Arial"/>
          <w:i/>
          <w:noProof/>
          <w:sz w:val="16"/>
          <w:szCs w:val="16"/>
        </w:rPr>
        <w:t>Live Activity</w:t>
      </w:r>
      <w:r w:rsidRPr="00512139">
        <w:rPr>
          <w:rFonts w:ascii="Arial" w:eastAsia="Cambria" w:hAnsi="Arial" w:cs="Arial"/>
          <w:i/>
          <w:sz w:val="16"/>
          <w:szCs w:val="16"/>
        </w:rPr>
        <w:t xml:space="preserve"> for a maximum of </w:t>
      </w:r>
      <w:r>
        <w:rPr>
          <w:rFonts w:ascii="Arial" w:eastAsia="Cambria" w:hAnsi="Arial" w:cs="Arial"/>
          <w:b/>
          <w:bCs/>
          <w:i/>
          <w:noProof/>
          <w:color w:val="0078BF"/>
          <w:sz w:val="16"/>
          <w:szCs w:val="16"/>
        </w:rPr>
        <w:t>1.00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 xml:space="preserve"> AMA PRA Category 1 Credit</w:t>
      </w:r>
      <w:r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(s)™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.</w:t>
      </w:r>
      <w:r w:rsidRPr="006F195F">
        <w:rPr>
          <w:rFonts w:ascii="Arial" w:eastAsia="Cambria" w:hAnsi="Arial" w:cs="Arial"/>
          <w:i/>
          <w:color w:val="0078BF"/>
          <w:sz w:val="16"/>
          <w:szCs w:val="16"/>
        </w:rPr>
        <w:t xml:space="preserve"> </w:t>
      </w:r>
      <w:r w:rsidRPr="00512139">
        <w:rPr>
          <w:rFonts w:ascii="Arial" w:eastAsia="Cambria" w:hAnsi="Arial" w:cs="Arial"/>
          <w:i/>
          <w:sz w:val="16"/>
          <w:szCs w:val="16"/>
        </w:rPr>
        <w:t>Physicians should only claim credit commensurate with the extent of their participation in the activity.</w:t>
      </w:r>
    </w:p>
    <w:p w14:paraId="7469AC81" w14:textId="77777777" w:rsidR="00B85050" w:rsidRDefault="005D259B" w:rsidP="000A4A5D">
      <w:pPr>
        <w:jc w:val="center"/>
      </w:pPr>
    </w:p>
    <w:sectPr w:rsidR="00B85050" w:rsidSect="0084492D">
      <w:headerReference w:type="default" r:id="rId8"/>
      <w:type w:val="continuous"/>
      <w:pgSz w:w="12240" w:h="15840"/>
      <w:pgMar w:top="1440" w:right="1440" w:bottom="5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9C011" w14:textId="77777777" w:rsidR="006B0ECA" w:rsidRDefault="006B0ECA">
      <w:r>
        <w:separator/>
      </w:r>
    </w:p>
  </w:endnote>
  <w:endnote w:type="continuationSeparator" w:id="0">
    <w:p w14:paraId="06D85D74" w14:textId="77777777" w:rsidR="006B0ECA" w:rsidRDefault="006B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D86C4" w14:textId="77777777" w:rsidR="006B0ECA" w:rsidRDefault="006B0ECA">
      <w:r>
        <w:separator/>
      </w:r>
    </w:p>
  </w:footnote>
  <w:footnote w:type="continuationSeparator" w:id="0">
    <w:p w14:paraId="3D0F4596" w14:textId="77777777" w:rsidR="006B0ECA" w:rsidRDefault="006B0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C3AA9" w14:textId="77777777" w:rsidR="00525504" w:rsidRDefault="009C0AAD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4AD8977" wp14:editId="707F7F75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E53"/>
    <w:rsid w:val="001F5A1E"/>
    <w:rsid w:val="0023317D"/>
    <w:rsid w:val="00294073"/>
    <w:rsid w:val="002F5CD3"/>
    <w:rsid w:val="00306ADE"/>
    <w:rsid w:val="003158C4"/>
    <w:rsid w:val="00394D0E"/>
    <w:rsid w:val="003D672B"/>
    <w:rsid w:val="00407133"/>
    <w:rsid w:val="00465AD5"/>
    <w:rsid w:val="00483C9F"/>
    <w:rsid w:val="004A34C0"/>
    <w:rsid w:val="004C04A1"/>
    <w:rsid w:val="005D259B"/>
    <w:rsid w:val="005D6642"/>
    <w:rsid w:val="00660DF3"/>
    <w:rsid w:val="006900C3"/>
    <w:rsid w:val="00693E53"/>
    <w:rsid w:val="006B0ECA"/>
    <w:rsid w:val="00815D62"/>
    <w:rsid w:val="0084238D"/>
    <w:rsid w:val="0084492D"/>
    <w:rsid w:val="008C1B52"/>
    <w:rsid w:val="009C0AAD"/>
    <w:rsid w:val="00A81D8E"/>
    <w:rsid w:val="00AB0B5C"/>
    <w:rsid w:val="00AB598D"/>
    <w:rsid w:val="00AC2C00"/>
    <w:rsid w:val="00AF44A3"/>
    <w:rsid w:val="00B125BF"/>
    <w:rsid w:val="00B445FF"/>
    <w:rsid w:val="00B70F23"/>
    <w:rsid w:val="00BC4983"/>
    <w:rsid w:val="00BE57F4"/>
    <w:rsid w:val="00C07CCC"/>
    <w:rsid w:val="00C24E8A"/>
    <w:rsid w:val="00C264F7"/>
    <w:rsid w:val="00D53F38"/>
    <w:rsid w:val="00E042BA"/>
    <w:rsid w:val="00E736BB"/>
    <w:rsid w:val="00F3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4D88A"/>
  <w15:docId w15:val="{2E0E6313-2944-4742-B5E9-C6331BF8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F5C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F5CD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F5C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C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CD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D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zoom.us/j/95746029979?pwd=QzhPa1FycWYxZFVHT3ZtYlYzN1p3U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 Prentice, Nixida</dc:creator>
  <cp:lastModifiedBy>Manganello, Michele</cp:lastModifiedBy>
  <cp:revision>2</cp:revision>
  <dcterms:created xsi:type="dcterms:W3CDTF">2022-06-13T19:30:00Z</dcterms:created>
  <dcterms:modified xsi:type="dcterms:W3CDTF">2022-06-13T19:30:00Z</dcterms:modified>
</cp:coreProperties>
</file>