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DDC" w:rsidRDefault="007B1DDC" w:rsidP="007B1DDC">
      <w:pPr>
        <w:widowControl w:val="0"/>
        <w:autoSpaceDE w:val="0"/>
        <w:autoSpaceDN w:val="0"/>
        <w:adjustRightInd w:val="0"/>
        <w:rPr>
          <w:rFonts w:ascii="Verdana" w:hAnsi="Verdana" w:cs="Verdana"/>
          <w:sz w:val="22"/>
          <w:szCs w:val="22"/>
        </w:rPr>
      </w:pPr>
      <w:bookmarkStart w:id="0" w:name="OLE_LINK1"/>
      <w:bookmarkStart w:id="1" w:name="OLE_LINK2"/>
      <w:r>
        <w:rPr>
          <w:rFonts w:ascii="Verdana" w:hAnsi="Verdana" w:cs="Verdana"/>
          <w:sz w:val="22"/>
          <w:szCs w:val="22"/>
        </w:rPr>
        <w:t>Background</w:t>
      </w:r>
    </w:p>
    <w:p w:rsidR="007B1DDC" w:rsidRDefault="007B1DDC" w:rsidP="007B1DDC">
      <w:pPr>
        <w:widowControl w:val="0"/>
        <w:autoSpaceDE w:val="0"/>
        <w:autoSpaceDN w:val="0"/>
        <w:adjustRightInd w:val="0"/>
        <w:rPr>
          <w:rFonts w:ascii="Verdana" w:hAnsi="Verdana" w:cs="Verdana"/>
          <w:sz w:val="22"/>
          <w:szCs w:val="22"/>
        </w:rPr>
      </w:pPr>
      <w:r>
        <w:rPr>
          <w:rFonts w:ascii="Verdana" w:hAnsi="Verdana" w:cs="Verdana"/>
          <w:sz w:val="22"/>
          <w:szCs w:val="22"/>
        </w:rPr>
        <w:t>There have been a limited number of clinical trials in patients with cancers of unknown primary over the past 20 years. Many of the original studies focused on the use of broad-spectrum chemotherapeutic agents. More recently trials have been developed to investigate the use of newer imaging techniques to localize a possible primary site. Few studies have been published on the use of molecularly targeted treatments or immunotherapy for cancers of unknown primary.</w:t>
      </w:r>
    </w:p>
    <w:p w:rsidR="007B1DDC" w:rsidRDefault="007B1DDC" w:rsidP="007B1DDC">
      <w:pPr>
        <w:widowControl w:val="0"/>
        <w:autoSpaceDE w:val="0"/>
        <w:autoSpaceDN w:val="0"/>
        <w:adjustRightInd w:val="0"/>
        <w:rPr>
          <w:rFonts w:ascii="Verdana" w:hAnsi="Verdana" w:cs="Verdana"/>
          <w:sz w:val="22"/>
          <w:szCs w:val="22"/>
        </w:rPr>
      </w:pPr>
      <w:r>
        <w:rPr>
          <w:rFonts w:ascii="Verdana" w:hAnsi="Verdana" w:cs="Verdana"/>
          <w:sz w:val="22"/>
          <w:szCs w:val="22"/>
        </w:rPr>
        <w:t>Objective</w:t>
      </w:r>
    </w:p>
    <w:p w:rsidR="007B1DDC" w:rsidRDefault="007B1DDC" w:rsidP="007B1DDC">
      <w:pPr>
        <w:widowControl w:val="0"/>
        <w:autoSpaceDE w:val="0"/>
        <w:autoSpaceDN w:val="0"/>
        <w:adjustRightInd w:val="0"/>
        <w:rPr>
          <w:rFonts w:ascii="Verdana" w:hAnsi="Verdana" w:cs="Verdana"/>
          <w:sz w:val="22"/>
          <w:szCs w:val="22"/>
        </w:rPr>
      </w:pPr>
      <w:proofErr w:type="gramStart"/>
      <w:r>
        <w:rPr>
          <w:rFonts w:ascii="Verdana" w:hAnsi="Verdana" w:cs="Verdana"/>
          <w:sz w:val="22"/>
          <w:szCs w:val="22"/>
        </w:rPr>
        <w:t>To review clinical trials in cancers of unknown primary and determine areas for future research.</w:t>
      </w:r>
      <w:proofErr w:type="gramEnd"/>
    </w:p>
    <w:p w:rsidR="007B1DDC" w:rsidRDefault="007B1DDC" w:rsidP="007B1DDC">
      <w:pPr>
        <w:widowControl w:val="0"/>
        <w:autoSpaceDE w:val="0"/>
        <w:autoSpaceDN w:val="0"/>
        <w:adjustRightInd w:val="0"/>
        <w:rPr>
          <w:rFonts w:ascii="Verdana" w:hAnsi="Verdana" w:cs="Verdana"/>
          <w:sz w:val="22"/>
          <w:szCs w:val="22"/>
        </w:rPr>
      </w:pPr>
      <w:r>
        <w:rPr>
          <w:rFonts w:ascii="Verdana" w:hAnsi="Verdana" w:cs="Verdana"/>
          <w:sz w:val="22"/>
          <w:szCs w:val="22"/>
        </w:rPr>
        <w:t>Methods</w:t>
      </w:r>
    </w:p>
    <w:p w:rsidR="007B1DDC" w:rsidRDefault="007B1DDC" w:rsidP="007B1DDC">
      <w:pPr>
        <w:widowControl w:val="0"/>
        <w:autoSpaceDE w:val="0"/>
        <w:autoSpaceDN w:val="0"/>
        <w:adjustRightInd w:val="0"/>
        <w:rPr>
          <w:rFonts w:ascii="Verdana" w:hAnsi="Verdana" w:cs="Verdana"/>
          <w:sz w:val="22"/>
          <w:szCs w:val="22"/>
        </w:rPr>
      </w:pPr>
      <w:r>
        <w:rPr>
          <w:rFonts w:ascii="Verdana" w:hAnsi="Verdana" w:cs="Verdana"/>
          <w:sz w:val="22"/>
          <w:szCs w:val="22"/>
        </w:rPr>
        <w:t>A PubMed search was performed to find published clinical trials for cancers of unknown primary from 1996 - 2016. Trials were excluded if they involved treatment of patients with specific primary sites. Therapeutic and non-therapeutic studies were reviewed.</w:t>
      </w:r>
    </w:p>
    <w:p w:rsidR="007B1DDC" w:rsidRDefault="007B1DDC" w:rsidP="007B1DDC">
      <w:pPr>
        <w:widowControl w:val="0"/>
        <w:autoSpaceDE w:val="0"/>
        <w:autoSpaceDN w:val="0"/>
        <w:adjustRightInd w:val="0"/>
        <w:rPr>
          <w:rFonts w:ascii="Verdana" w:hAnsi="Verdana" w:cs="Verdana"/>
          <w:sz w:val="22"/>
          <w:szCs w:val="22"/>
        </w:rPr>
      </w:pPr>
      <w:r>
        <w:rPr>
          <w:rFonts w:ascii="Verdana" w:hAnsi="Verdana" w:cs="Verdana"/>
          <w:sz w:val="22"/>
          <w:szCs w:val="22"/>
        </w:rPr>
        <w:t>Results</w:t>
      </w:r>
    </w:p>
    <w:p w:rsidR="007B1DDC" w:rsidRDefault="007B1DDC" w:rsidP="007B1DDC">
      <w:pPr>
        <w:widowControl w:val="0"/>
        <w:autoSpaceDE w:val="0"/>
        <w:autoSpaceDN w:val="0"/>
        <w:adjustRightInd w:val="0"/>
        <w:rPr>
          <w:rFonts w:ascii="Verdana" w:hAnsi="Verdana" w:cs="Verdana"/>
          <w:sz w:val="22"/>
          <w:szCs w:val="22"/>
        </w:rPr>
      </w:pPr>
      <w:r>
        <w:rPr>
          <w:rFonts w:ascii="Verdana" w:hAnsi="Verdana" w:cs="Verdana"/>
          <w:sz w:val="22"/>
          <w:szCs w:val="22"/>
        </w:rPr>
        <w:t> Sixty-six clinical trial publications were identified. (Table 1) Most of the trials involved the use of chemotherapeutic agents including paclitaxel, platinum compounds and gemcitabine. Few published studies have explored the use of targeted therapies or immunotherapies. Some trials involved the use of radiation or supportive care.</w:t>
      </w:r>
    </w:p>
    <w:p w:rsidR="007B1DDC" w:rsidRDefault="007B1DDC" w:rsidP="007B1DDC">
      <w:pPr>
        <w:widowControl w:val="0"/>
        <w:autoSpaceDE w:val="0"/>
        <w:autoSpaceDN w:val="0"/>
        <w:adjustRightInd w:val="0"/>
        <w:rPr>
          <w:rFonts w:ascii="Verdana" w:hAnsi="Verdana" w:cs="Verdana"/>
          <w:sz w:val="22"/>
          <w:szCs w:val="22"/>
        </w:rPr>
      </w:pPr>
      <w:r>
        <w:rPr>
          <w:rFonts w:ascii="Verdana" w:hAnsi="Verdana" w:cs="Verdana"/>
          <w:sz w:val="22"/>
          <w:szCs w:val="22"/>
        </w:rPr>
        <w:t>Conclusions</w:t>
      </w:r>
    </w:p>
    <w:p w:rsidR="007B1DDC" w:rsidRDefault="007B1DDC" w:rsidP="007B1DDC">
      <w:pPr>
        <w:widowControl w:val="0"/>
        <w:autoSpaceDE w:val="0"/>
        <w:autoSpaceDN w:val="0"/>
        <w:adjustRightInd w:val="0"/>
        <w:rPr>
          <w:rFonts w:ascii="Verdana" w:hAnsi="Verdana" w:cs="Verdana"/>
          <w:sz w:val="22"/>
          <w:szCs w:val="22"/>
        </w:rPr>
      </w:pPr>
      <w:r>
        <w:rPr>
          <w:rFonts w:ascii="Verdana" w:hAnsi="Verdana" w:cs="Verdana"/>
          <w:sz w:val="22"/>
          <w:szCs w:val="22"/>
        </w:rPr>
        <w:t>Despite the availability of next generation sequencing, targeted therapies and immunotherapies, there have been relatively few trials on cancers of unknown primaries specifically involving</w:t>
      </w:r>
      <w:r w:rsidR="00EB2667">
        <w:rPr>
          <w:rFonts w:ascii="Verdana" w:hAnsi="Verdana" w:cs="Verdana"/>
          <w:sz w:val="22"/>
          <w:szCs w:val="22"/>
        </w:rPr>
        <w:t xml:space="preserve"> newer technologies. Results fro</w:t>
      </w:r>
      <w:bookmarkStart w:id="2" w:name="_GoBack"/>
      <w:bookmarkEnd w:id="2"/>
      <w:r>
        <w:rPr>
          <w:rFonts w:ascii="Verdana" w:hAnsi="Verdana" w:cs="Verdana"/>
          <w:sz w:val="22"/>
          <w:szCs w:val="22"/>
        </w:rPr>
        <w:t>m a Foundation Medicine study are awaited and the NCI-MATCH study is ongoing, but neither is specific for cancers of unknown primary. There remains a need for more specific studies for patients with cancers of unknown primary.</w:t>
      </w:r>
    </w:p>
    <w:bookmarkEnd w:id="0"/>
    <w:bookmarkEnd w:id="1"/>
    <w:p w:rsidR="007B1DDC" w:rsidRDefault="007B1DDC" w:rsidP="007B1DDC">
      <w:pPr>
        <w:widowControl w:val="0"/>
        <w:autoSpaceDE w:val="0"/>
        <w:autoSpaceDN w:val="0"/>
        <w:adjustRightInd w:val="0"/>
        <w:rPr>
          <w:rFonts w:ascii="Verdana" w:hAnsi="Verdana" w:cs="Verdana"/>
          <w:sz w:val="22"/>
          <w:szCs w:val="22"/>
        </w:rPr>
      </w:pPr>
    </w:p>
    <w:p w:rsidR="007B1DDC" w:rsidRDefault="007B1DDC" w:rsidP="007B1DDC">
      <w:pPr>
        <w:widowControl w:val="0"/>
        <w:autoSpaceDE w:val="0"/>
        <w:autoSpaceDN w:val="0"/>
        <w:adjustRightInd w:val="0"/>
        <w:rPr>
          <w:rFonts w:ascii="Verdana" w:hAnsi="Verdana" w:cs="Verdana"/>
          <w:sz w:val="22"/>
          <w:szCs w:val="22"/>
        </w:rPr>
      </w:pPr>
      <w:r>
        <w:rPr>
          <w:rFonts w:ascii="Verdana" w:hAnsi="Verdana" w:cs="Verdana"/>
          <w:sz w:val="22"/>
          <w:szCs w:val="22"/>
        </w:rPr>
        <w:t>Table 1</w:t>
      </w:r>
    </w:p>
    <w:p w:rsidR="007B1DDC" w:rsidRDefault="007B1DDC" w:rsidP="007B1DDC">
      <w:pPr>
        <w:widowControl w:val="0"/>
        <w:autoSpaceDE w:val="0"/>
        <w:autoSpaceDN w:val="0"/>
        <w:adjustRightInd w:val="0"/>
        <w:rPr>
          <w:rFonts w:ascii="Verdana" w:hAnsi="Verdana" w:cs="Verdana"/>
          <w:sz w:val="22"/>
          <w:szCs w:val="22"/>
        </w:rPr>
      </w:pPr>
      <w:r>
        <w:rPr>
          <w:rFonts w:ascii="Verdana" w:hAnsi="Verdana" w:cs="Verdana"/>
          <w:sz w:val="22"/>
          <w:szCs w:val="22"/>
        </w:rPr>
        <w:t>Published trials in cancers of unknown primary</w:t>
      </w:r>
    </w:p>
    <w:tbl>
      <w:tblPr>
        <w:tblW w:w="5000" w:type="pct"/>
        <w:tblBorders>
          <w:top w:val="single" w:sz="8" w:space="0" w:color="ADADAD"/>
          <w:left w:val="single" w:sz="8" w:space="0" w:color="ADADAD"/>
          <w:right w:val="single" w:sz="8" w:space="0" w:color="ADADAD"/>
        </w:tblBorders>
        <w:tblLook w:val="0000" w:firstRow="0" w:lastRow="0" w:firstColumn="0" w:lastColumn="0" w:noHBand="0" w:noVBand="0"/>
      </w:tblPr>
      <w:tblGrid>
        <w:gridCol w:w="1016"/>
        <w:gridCol w:w="1655"/>
        <w:gridCol w:w="1655"/>
        <w:gridCol w:w="1691"/>
        <w:gridCol w:w="1112"/>
        <w:gridCol w:w="1727"/>
      </w:tblGrid>
      <w:tr w:rsidR="007B1DDC" w:rsidRPr="007B1DDC" w:rsidTr="007B1DDC">
        <w:tblPrEx>
          <w:tblCellMar>
            <w:top w:w="0" w:type="dxa"/>
            <w:bottom w:w="0" w:type="dxa"/>
          </w:tblCellMar>
        </w:tblPrEx>
        <w:tc>
          <w:tcPr>
            <w:tcW w:w="441" w:type="pct"/>
            <w:tcBorders>
              <w:top w:val="single" w:sz="8" w:space="0" w:color="ADADAD"/>
              <w:bottom w:val="single" w:sz="8" w:space="0" w:color="ADADAD"/>
              <w:right w:val="single" w:sz="8" w:space="0" w:color="ADADAD"/>
            </w:tcBorders>
            <w:tcMar>
              <w:top w:w="20" w:type="nil"/>
              <w:left w:w="20" w:type="nil"/>
              <w:bottom w:w="20" w:type="nil"/>
              <w:right w:w="20" w:type="nil"/>
            </w:tcMar>
            <w:vAlign w:val="center"/>
          </w:tcPr>
          <w:p w:rsidR="007B1DDC" w:rsidRPr="007B1DDC" w:rsidRDefault="007B1DDC">
            <w:pPr>
              <w:widowControl w:val="0"/>
              <w:autoSpaceDE w:val="0"/>
              <w:autoSpaceDN w:val="0"/>
              <w:adjustRightInd w:val="0"/>
              <w:rPr>
                <w:rFonts w:ascii="Verdana" w:hAnsi="Verdana" w:cs="Verdana"/>
                <w:sz w:val="20"/>
                <w:szCs w:val="20"/>
              </w:rPr>
            </w:pPr>
          </w:p>
        </w:tc>
        <w:tc>
          <w:tcPr>
            <w:tcW w:w="570" w:type="pct"/>
            <w:tcBorders>
              <w:top w:val="single" w:sz="8" w:space="0" w:color="ADADAD"/>
              <w:left w:val="single" w:sz="8" w:space="0" w:color="ADADAD"/>
              <w:bottom w:val="single" w:sz="8" w:space="0" w:color="ADADAD"/>
              <w:right w:val="single" w:sz="8" w:space="0" w:color="ADADAD"/>
            </w:tcBorders>
            <w:tcMar>
              <w:top w:w="20" w:type="nil"/>
              <w:left w:w="20" w:type="nil"/>
              <w:bottom w:w="20" w:type="nil"/>
              <w:right w:w="20" w:type="nil"/>
            </w:tcMar>
            <w:vAlign w:val="center"/>
          </w:tcPr>
          <w:p w:rsidR="007B1DDC" w:rsidRPr="007B1DDC" w:rsidRDefault="007B1DDC">
            <w:pPr>
              <w:widowControl w:val="0"/>
              <w:autoSpaceDE w:val="0"/>
              <w:autoSpaceDN w:val="0"/>
              <w:adjustRightInd w:val="0"/>
              <w:rPr>
                <w:rFonts w:ascii="Verdana" w:hAnsi="Verdana" w:cs="Verdana"/>
                <w:sz w:val="20"/>
                <w:szCs w:val="20"/>
              </w:rPr>
            </w:pPr>
            <w:r w:rsidRPr="007B1DDC">
              <w:rPr>
                <w:rFonts w:ascii="Verdana" w:hAnsi="Verdana" w:cs="Verdana"/>
                <w:sz w:val="20"/>
                <w:szCs w:val="20"/>
              </w:rPr>
              <w:t>Paclitaxel</w:t>
            </w:r>
            <w:r>
              <w:rPr>
                <w:rFonts w:ascii="Verdana" w:hAnsi="Verdana" w:cs="Verdana"/>
                <w:sz w:val="20"/>
                <w:szCs w:val="20"/>
              </w:rPr>
              <w:t xml:space="preserve"> or </w:t>
            </w:r>
            <w:proofErr w:type="spellStart"/>
            <w:r>
              <w:rPr>
                <w:rFonts w:ascii="Verdana" w:hAnsi="Verdana" w:cs="Verdana"/>
                <w:sz w:val="20"/>
                <w:szCs w:val="20"/>
              </w:rPr>
              <w:t>docetaxel</w:t>
            </w:r>
            <w:proofErr w:type="spellEnd"/>
            <w:r>
              <w:rPr>
                <w:rFonts w:ascii="Verdana" w:hAnsi="Verdana" w:cs="Verdana"/>
                <w:sz w:val="20"/>
                <w:szCs w:val="20"/>
              </w:rPr>
              <w:t xml:space="preserve"> chemotherapy </w:t>
            </w:r>
          </w:p>
        </w:tc>
        <w:tc>
          <w:tcPr>
            <w:tcW w:w="521" w:type="pct"/>
            <w:tcBorders>
              <w:top w:val="single" w:sz="8" w:space="0" w:color="ADADAD"/>
              <w:left w:val="single" w:sz="8" w:space="0" w:color="ADADAD"/>
              <w:bottom w:val="single" w:sz="8" w:space="0" w:color="ADADAD"/>
              <w:right w:val="single" w:sz="8" w:space="0" w:color="ADADAD"/>
            </w:tcBorders>
            <w:tcMar>
              <w:top w:w="20" w:type="nil"/>
              <w:left w:w="20" w:type="nil"/>
              <w:bottom w:w="20" w:type="nil"/>
              <w:right w:w="20" w:type="nil"/>
            </w:tcMar>
            <w:vAlign w:val="center"/>
          </w:tcPr>
          <w:p w:rsidR="007B1DDC" w:rsidRPr="007B1DDC" w:rsidRDefault="007B1DDC">
            <w:pPr>
              <w:widowControl w:val="0"/>
              <w:autoSpaceDE w:val="0"/>
              <w:autoSpaceDN w:val="0"/>
              <w:adjustRightInd w:val="0"/>
              <w:rPr>
                <w:rFonts w:ascii="Verdana" w:hAnsi="Verdana" w:cs="Verdana"/>
                <w:sz w:val="20"/>
                <w:szCs w:val="20"/>
              </w:rPr>
            </w:pPr>
            <w:r w:rsidRPr="007B1DDC">
              <w:rPr>
                <w:rFonts w:ascii="Verdana" w:hAnsi="Verdana" w:cs="Verdana"/>
                <w:sz w:val="20"/>
                <w:szCs w:val="20"/>
              </w:rPr>
              <w:t>Non- p</w:t>
            </w:r>
            <w:r>
              <w:rPr>
                <w:rFonts w:ascii="Verdana" w:hAnsi="Verdana" w:cs="Verdana"/>
                <w:sz w:val="20"/>
                <w:szCs w:val="20"/>
              </w:rPr>
              <w:t xml:space="preserve">aclitaxel chemotherapy </w:t>
            </w:r>
          </w:p>
        </w:tc>
        <w:tc>
          <w:tcPr>
            <w:tcW w:w="483" w:type="pct"/>
            <w:tcBorders>
              <w:top w:val="single" w:sz="8" w:space="0" w:color="ADADAD"/>
              <w:left w:val="single" w:sz="8" w:space="0" w:color="ADADAD"/>
              <w:bottom w:val="single" w:sz="8" w:space="0" w:color="ADADAD"/>
              <w:right w:val="single" w:sz="8" w:space="0" w:color="ADADAD"/>
            </w:tcBorders>
            <w:tcMar>
              <w:top w:w="20" w:type="nil"/>
              <w:left w:w="20" w:type="nil"/>
              <w:bottom w:w="20" w:type="nil"/>
              <w:right w:w="20" w:type="nil"/>
            </w:tcMar>
            <w:vAlign w:val="center"/>
          </w:tcPr>
          <w:p w:rsidR="007B1DDC" w:rsidRPr="007B1DDC" w:rsidRDefault="007B1DDC">
            <w:pPr>
              <w:widowControl w:val="0"/>
              <w:autoSpaceDE w:val="0"/>
              <w:autoSpaceDN w:val="0"/>
              <w:adjustRightInd w:val="0"/>
              <w:rPr>
                <w:rFonts w:ascii="Verdana" w:hAnsi="Verdana" w:cs="Verdana"/>
                <w:sz w:val="20"/>
                <w:szCs w:val="20"/>
              </w:rPr>
            </w:pPr>
            <w:r w:rsidRPr="007B1DDC">
              <w:rPr>
                <w:rFonts w:ascii="Verdana" w:hAnsi="Verdana" w:cs="Verdana"/>
                <w:sz w:val="20"/>
                <w:szCs w:val="20"/>
              </w:rPr>
              <w:t>Chemotherapy plus a targeted agent</w:t>
            </w:r>
          </w:p>
        </w:tc>
        <w:tc>
          <w:tcPr>
            <w:tcW w:w="558" w:type="pct"/>
            <w:tcBorders>
              <w:top w:val="single" w:sz="8" w:space="0" w:color="ADADAD"/>
              <w:left w:val="single" w:sz="8" w:space="0" w:color="ADADAD"/>
              <w:bottom w:val="single" w:sz="8" w:space="0" w:color="ADADAD"/>
              <w:right w:val="single" w:sz="8" w:space="0" w:color="ADADAD"/>
            </w:tcBorders>
            <w:tcMar>
              <w:top w:w="20" w:type="nil"/>
              <w:left w:w="20" w:type="nil"/>
              <w:bottom w:w="20" w:type="nil"/>
              <w:right w:w="20" w:type="nil"/>
            </w:tcMar>
            <w:vAlign w:val="center"/>
          </w:tcPr>
          <w:p w:rsidR="007B1DDC" w:rsidRPr="007B1DDC" w:rsidRDefault="007B1DDC">
            <w:pPr>
              <w:widowControl w:val="0"/>
              <w:autoSpaceDE w:val="0"/>
              <w:autoSpaceDN w:val="0"/>
              <w:adjustRightInd w:val="0"/>
              <w:rPr>
                <w:rFonts w:ascii="Verdana" w:hAnsi="Verdana" w:cs="Verdana"/>
                <w:sz w:val="20"/>
                <w:szCs w:val="20"/>
              </w:rPr>
            </w:pPr>
            <w:r w:rsidRPr="007B1DDC">
              <w:rPr>
                <w:rFonts w:ascii="Verdana" w:hAnsi="Verdana" w:cs="Verdana"/>
                <w:sz w:val="20"/>
                <w:szCs w:val="20"/>
              </w:rPr>
              <w:t>Targeted Therapy alone</w:t>
            </w:r>
          </w:p>
        </w:tc>
        <w:tc>
          <w:tcPr>
            <w:tcW w:w="2426" w:type="pct"/>
            <w:tcBorders>
              <w:top w:val="single" w:sz="8" w:space="0" w:color="ADADAD"/>
              <w:left w:val="single" w:sz="8" w:space="0" w:color="ADADAD"/>
              <w:bottom w:val="single" w:sz="8" w:space="0" w:color="ADADAD"/>
            </w:tcBorders>
            <w:tcMar>
              <w:top w:w="20" w:type="nil"/>
              <w:left w:w="20" w:type="nil"/>
              <w:bottom w:w="20" w:type="nil"/>
              <w:right w:w="20" w:type="nil"/>
            </w:tcMar>
            <w:vAlign w:val="center"/>
          </w:tcPr>
          <w:p w:rsidR="007B1DDC" w:rsidRPr="007B1DDC" w:rsidRDefault="007B1DDC">
            <w:pPr>
              <w:widowControl w:val="0"/>
              <w:autoSpaceDE w:val="0"/>
              <w:autoSpaceDN w:val="0"/>
              <w:adjustRightInd w:val="0"/>
              <w:rPr>
                <w:rFonts w:ascii="Verdana" w:hAnsi="Verdana" w:cs="Verdana"/>
                <w:sz w:val="20"/>
                <w:szCs w:val="20"/>
              </w:rPr>
            </w:pPr>
            <w:r w:rsidRPr="007B1DDC">
              <w:rPr>
                <w:rFonts w:ascii="Verdana" w:hAnsi="Verdana" w:cs="Verdana"/>
                <w:sz w:val="20"/>
                <w:szCs w:val="20"/>
              </w:rPr>
              <w:t>Gene Expression based</w:t>
            </w:r>
          </w:p>
        </w:tc>
      </w:tr>
      <w:tr w:rsidR="007B1DDC" w:rsidRPr="007B1DDC" w:rsidTr="007B1DDC">
        <w:tblPrEx>
          <w:tblBorders>
            <w:top w:val="none" w:sz="0" w:space="0" w:color="auto"/>
            <w:bottom w:val="single" w:sz="8" w:space="0" w:color="ADADAD"/>
          </w:tblBorders>
          <w:tblCellMar>
            <w:top w:w="0" w:type="dxa"/>
            <w:bottom w:w="0" w:type="dxa"/>
          </w:tblCellMar>
        </w:tblPrEx>
        <w:tc>
          <w:tcPr>
            <w:tcW w:w="441" w:type="pct"/>
            <w:tcBorders>
              <w:top w:val="single" w:sz="8" w:space="0" w:color="ADADAD"/>
              <w:bottom w:val="single" w:sz="8" w:space="0" w:color="ADADAD"/>
              <w:right w:val="single" w:sz="8" w:space="0" w:color="ADADAD"/>
            </w:tcBorders>
            <w:tcMar>
              <w:top w:w="20" w:type="nil"/>
              <w:left w:w="20" w:type="nil"/>
              <w:bottom w:w="20" w:type="nil"/>
              <w:right w:w="20" w:type="nil"/>
            </w:tcMar>
            <w:vAlign w:val="center"/>
          </w:tcPr>
          <w:p w:rsidR="007B1DDC" w:rsidRPr="007B1DDC" w:rsidRDefault="007B1DDC">
            <w:pPr>
              <w:widowControl w:val="0"/>
              <w:autoSpaceDE w:val="0"/>
              <w:autoSpaceDN w:val="0"/>
              <w:adjustRightInd w:val="0"/>
              <w:rPr>
                <w:rFonts w:ascii="Verdana" w:hAnsi="Verdana" w:cs="Verdana"/>
                <w:sz w:val="20"/>
                <w:szCs w:val="20"/>
              </w:rPr>
            </w:pPr>
            <w:bookmarkStart w:id="3" w:name="OLE_LINK3"/>
            <w:bookmarkStart w:id="4" w:name="OLE_LINK4"/>
            <w:r w:rsidRPr="007B1DDC">
              <w:rPr>
                <w:rFonts w:ascii="Verdana" w:hAnsi="Verdana" w:cs="Verdana"/>
                <w:sz w:val="20"/>
                <w:szCs w:val="20"/>
              </w:rPr>
              <w:t>Number of trials</w:t>
            </w:r>
            <w:bookmarkEnd w:id="3"/>
            <w:bookmarkEnd w:id="4"/>
          </w:p>
        </w:tc>
        <w:tc>
          <w:tcPr>
            <w:tcW w:w="570" w:type="pct"/>
            <w:tcBorders>
              <w:top w:val="single" w:sz="8" w:space="0" w:color="ADADAD"/>
              <w:left w:val="single" w:sz="8" w:space="0" w:color="ADADAD"/>
              <w:bottom w:val="single" w:sz="8" w:space="0" w:color="ADADAD"/>
              <w:right w:val="single" w:sz="8" w:space="0" w:color="ADADAD"/>
            </w:tcBorders>
            <w:tcMar>
              <w:top w:w="20" w:type="nil"/>
              <w:left w:w="20" w:type="nil"/>
              <w:bottom w:w="20" w:type="nil"/>
              <w:right w:w="20" w:type="nil"/>
            </w:tcMar>
            <w:vAlign w:val="center"/>
          </w:tcPr>
          <w:p w:rsidR="007B1DDC" w:rsidRPr="007B1DDC" w:rsidRDefault="007B1DDC">
            <w:pPr>
              <w:widowControl w:val="0"/>
              <w:autoSpaceDE w:val="0"/>
              <w:autoSpaceDN w:val="0"/>
              <w:adjustRightInd w:val="0"/>
              <w:rPr>
                <w:rFonts w:ascii="Verdana" w:hAnsi="Verdana" w:cs="Verdana"/>
                <w:sz w:val="20"/>
                <w:szCs w:val="20"/>
              </w:rPr>
            </w:pPr>
            <w:r w:rsidRPr="007B1DDC">
              <w:rPr>
                <w:rFonts w:ascii="Verdana" w:hAnsi="Verdana" w:cs="Verdana"/>
                <w:sz w:val="20"/>
                <w:szCs w:val="20"/>
              </w:rPr>
              <w:t>22</w:t>
            </w:r>
          </w:p>
        </w:tc>
        <w:tc>
          <w:tcPr>
            <w:tcW w:w="521" w:type="pct"/>
            <w:tcBorders>
              <w:top w:val="single" w:sz="8" w:space="0" w:color="ADADAD"/>
              <w:left w:val="single" w:sz="8" w:space="0" w:color="ADADAD"/>
              <w:bottom w:val="single" w:sz="8" w:space="0" w:color="ADADAD"/>
              <w:right w:val="single" w:sz="8" w:space="0" w:color="ADADAD"/>
            </w:tcBorders>
            <w:tcMar>
              <w:top w:w="20" w:type="nil"/>
              <w:left w:w="20" w:type="nil"/>
              <w:bottom w:w="20" w:type="nil"/>
              <w:right w:w="20" w:type="nil"/>
            </w:tcMar>
            <w:vAlign w:val="center"/>
          </w:tcPr>
          <w:p w:rsidR="007B1DDC" w:rsidRPr="007B1DDC" w:rsidRDefault="007B1DDC">
            <w:pPr>
              <w:widowControl w:val="0"/>
              <w:autoSpaceDE w:val="0"/>
              <w:autoSpaceDN w:val="0"/>
              <w:adjustRightInd w:val="0"/>
              <w:rPr>
                <w:rFonts w:ascii="Verdana" w:hAnsi="Verdana" w:cs="Verdana"/>
                <w:sz w:val="20"/>
                <w:szCs w:val="20"/>
              </w:rPr>
            </w:pPr>
            <w:r w:rsidRPr="007B1DDC">
              <w:rPr>
                <w:rFonts w:ascii="Verdana" w:hAnsi="Verdana" w:cs="Verdana"/>
                <w:sz w:val="20"/>
                <w:szCs w:val="20"/>
              </w:rPr>
              <w:t>25</w:t>
            </w:r>
          </w:p>
        </w:tc>
        <w:tc>
          <w:tcPr>
            <w:tcW w:w="483" w:type="pct"/>
            <w:tcBorders>
              <w:top w:val="single" w:sz="8" w:space="0" w:color="ADADAD"/>
              <w:left w:val="single" w:sz="8" w:space="0" w:color="ADADAD"/>
              <w:bottom w:val="single" w:sz="8" w:space="0" w:color="ADADAD"/>
              <w:right w:val="single" w:sz="8" w:space="0" w:color="ADADAD"/>
            </w:tcBorders>
            <w:tcMar>
              <w:top w:w="20" w:type="nil"/>
              <w:left w:w="20" w:type="nil"/>
              <w:bottom w:w="20" w:type="nil"/>
              <w:right w:w="20" w:type="nil"/>
            </w:tcMar>
            <w:vAlign w:val="center"/>
          </w:tcPr>
          <w:p w:rsidR="007B1DDC" w:rsidRPr="007B1DDC" w:rsidRDefault="007B1DDC">
            <w:pPr>
              <w:widowControl w:val="0"/>
              <w:autoSpaceDE w:val="0"/>
              <w:autoSpaceDN w:val="0"/>
              <w:adjustRightInd w:val="0"/>
              <w:rPr>
                <w:rFonts w:ascii="Verdana" w:hAnsi="Verdana" w:cs="Verdana"/>
                <w:sz w:val="20"/>
                <w:szCs w:val="20"/>
              </w:rPr>
            </w:pPr>
            <w:r w:rsidRPr="007B1DDC">
              <w:rPr>
                <w:rFonts w:ascii="Verdana" w:hAnsi="Verdana" w:cs="Verdana"/>
                <w:sz w:val="20"/>
                <w:szCs w:val="20"/>
              </w:rPr>
              <w:t>3</w:t>
            </w:r>
          </w:p>
        </w:tc>
        <w:tc>
          <w:tcPr>
            <w:tcW w:w="558" w:type="pct"/>
            <w:tcBorders>
              <w:top w:val="single" w:sz="8" w:space="0" w:color="ADADAD"/>
              <w:left w:val="single" w:sz="8" w:space="0" w:color="ADADAD"/>
              <w:bottom w:val="single" w:sz="8" w:space="0" w:color="ADADAD"/>
              <w:right w:val="single" w:sz="8" w:space="0" w:color="ADADAD"/>
            </w:tcBorders>
            <w:tcMar>
              <w:top w:w="20" w:type="nil"/>
              <w:left w:w="20" w:type="nil"/>
              <w:bottom w:w="20" w:type="nil"/>
              <w:right w:w="20" w:type="nil"/>
            </w:tcMar>
            <w:vAlign w:val="center"/>
          </w:tcPr>
          <w:p w:rsidR="007B1DDC" w:rsidRPr="007B1DDC" w:rsidRDefault="007B1DDC">
            <w:pPr>
              <w:widowControl w:val="0"/>
              <w:autoSpaceDE w:val="0"/>
              <w:autoSpaceDN w:val="0"/>
              <w:adjustRightInd w:val="0"/>
              <w:rPr>
                <w:rFonts w:ascii="Verdana" w:hAnsi="Verdana" w:cs="Verdana"/>
                <w:sz w:val="20"/>
                <w:szCs w:val="20"/>
              </w:rPr>
            </w:pPr>
            <w:r w:rsidRPr="007B1DDC">
              <w:rPr>
                <w:rFonts w:ascii="Verdana" w:hAnsi="Verdana" w:cs="Verdana"/>
                <w:sz w:val="20"/>
                <w:szCs w:val="20"/>
              </w:rPr>
              <w:t>1</w:t>
            </w:r>
          </w:p>
        </w:tc>
        <w:tc>
          <w:tcPr>
            <w:tcW w:w="2426" w:type="pct"/>
            <w:tcBorders>
              <w:top w:val="single" w:sz="8" w:space="0" w:color="ADADAD"/>
              <w:left w:val="single" w:sz="8" w:space="0" w:color="ADADAD"/>
              <w:bottom w:val="single" w:sz="8" w:space="0" w:color="ADADAD"/>
            </w:tcBorders>
            <w:tcMar>
              <w:top w:w="20" w:type="nil"/>
              <w:left w:w="20" w:type="nil"/>
              <w:bottom w:w="20" w:type="nil"/>
              <w:right w:w="20" w:type="nil"/>
            </w:tcMar>
            <w:vAlign w:val="center"/>
          </w:tcPr>
          <w:p w:rsidR="007B1DDC" w:rsidRPr="007B1DDC" w:rsidRDefault="007B1DDC">
            <w:pPr>
              <w:widowControl w:val="0"/>
              <w:autoSpaceDE w:val="0"/>
              <w:autoSpaceDN w:val="0"/>
              <w:adjustRightInd w:val="0"/>
              <w:rPr>
                <w:rFonts w:ascii="Verdana" w:hAnsi="Verdana" w:cs="Verdana"/>
                <w:sz w:val="20"/>
                <w:szCs w:val="20"/>
              </w:rPr>
            </w:pPr>
            <w:r w:rsidRPr="007B1DDC">
              <w:rPr>
                <w:rFonts w:ascii="Verdana" w:hAnsi="Verdana" w:cs="Verdana"/>
                <w:sz w:val="20"/>
                <w:szCs w:val="20"/>
              </w:rPr>
              <w:t>3</w:t>
            </w:r>
          </w:p>
        </w:tc>
      </w:tr>
    </w:tbl>
    <w:p w:rsidR="002175E4" w:rsidRDefault="002175E4"/>
    <w:sectPr w:rsidR="002175E4" w:rsidSect="002175E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New Roman PS"/>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DDC"/>
    <w:rsid w:val="002175E4"/>
    <w:rsid w:val="007B1DDC"/>
    <w:rsid w:val="00EB26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1241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7C368-48F5-C44A-B35E-7C4BD2F90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277</Words>
  <Characters>1612</Characters>
  <Application>Microsoft Macintosh Word</Application>
  <DocSecurity>0</DocSecurity>
  <Lines>55</Lines>
  <Paragraphs>26</Paragraphs>
  <ScaleCrop>false</ScaleCrop>
  <Company>Yale University</Company>
  <LinksUpToDate>false</LinksUpToDate>
  <CharactersWithSpaces>1863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 Deshpande</dc:creator>
  <cp:keywords/>
  <dc:description/>
  <cp:lastModifiedBy>Hari Deshpande</cp:lastModifiedBy>
  <cp:revision>1</cp:revision>
  <dcterms:created xsi:type="dcterms:W3CDTF">2016-12-05T15:58:00Z</dcterms:created>
  <dcterms:modified xsi:type="dcterms:W3CDTF">2016-12-05T16:19:00Z</dcterms:modified>
</cp:coreProperties>
</file>