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1F76" w14:textId="77777777" w:rsidR="000A4A5D" w:rsidRDefault="00D66C4B" w:rsidP="00654C31">
      <w:pPr>
        <w:tabs>
          <w:tab w:val="right" w:pos="9360"/>
        </w:tabs>
      </w:pPr>
      <w:r>
        <w:tab/>
      </w:r>
    </w:p>
    <w:p w14:paraId="0D1BAE6B" w14:textId="5F08FB61" w:rsidR="000A4A5D" w:rsidRDefault="00D66C4B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08B5E2"/>
          <w:sz w:val="28"/>
          <w:szCs w:val="28"/>
        </w:rPr>
      </w:pP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 xml:space="preserve">Presented by: </w:t>
      </w:r>
      <w:r w:rsidRPr="00841998">
        <w:rPr>
          <w:rFonts w:ascii="Arial" w:hAnsi="Arial" w:cs="Arial"/>
          <w:b/>
          <w:bCs/>
          <w:noProof/>
          <w:color w:val="08B5E2"/>
          <w:sz w:val="28"/>
          <w:szCs w:val="28"/>
        </w:rPr>
        <w:t xml:space="preserve">Obstetrics, </w:t>
      </w:r>
      <w:r w:rsidRPr="00841998">
        <w:rPr>
          <w:rFonts w:ascii="Arial" w:hAnsi="Arial" w:cs="Arial"/>
          <w:b/>
          <w:bCs/>
          <w:color w:val="08B5E2"/>
          <w:sz w:val="28"/>
          <w:szCs w:val="28"/>
        </w:rPr>
        <w:t>Gynecology and Reproductive Sciences</w:t>
      </w:r>
    </w:p>
    <w:p w14:paraId="7A1E08CC" w14:textId="77777777" w:rsidR="00EF3297" w:rsidRDefault="00EF3297" w:rsidP="00EF3297">
      <w:pPr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>Weekly Grand Rounds Series (Live Activity and Virtual)</w:t>
      </w:r>
    </w:p>
    <w:p w14:paraId="76A0B404" w14:textId="472EDA7B" w:rsidR="00EF3297" w:rsidRPr="00FA5C17" w:rsidRDefault="00EF3297" w:rsidP="00EF3297">
      <w:pPr>
        <w:pStyle w:val="granted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Texting code for </w:t>
      </w:r>
      <w:r w:rsidR="00FE6431"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this </w:t>
      </w:r>
      <w:r>
        <w:rPr>
          <w:rFonts w:ascii="Arial" w:eastAsia="Cambria" w:hAnsi="Arial" w:cs="Arial"/>
          <w:b/>
          <w:bCs/>
          <w:iCs w:val="0"/>
          <w:sz w:val="22"/>
          <w:szCs w:val="22"/>
        </w:rPr>
        <w:t xml:space="preserve">session: </w:t>
      </w:r>
      <w:r w:rsidRPr="00BA49B3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28</w:t>
      </w:r>
      <w:r w:rsidR="00FA6AEF" w:rsidRPr="00BA49B3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6</w:t>
      </w:r>
      <w:r w:rsidR="00BA49B3" w:rsidRPr="00BA49B3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2</w:t>
      </w:r>
      <w:r w:rsidR="008554FA">
        <w:rPr>
          <w:rFonts w:ascii="Arial" w:eastAsia="Cambria" w:hAnsi="Arial" w:cs="Arial"/>
          <w:b/>
          <w:bCs/>
          <w:iCs w:val="0"/>
          <w:noProof/>
          <w:sz w:val="22"/>
          <w:szCs w:val="22"/>
        </w:rPr>
        <w:t>2</w:t>
      </w:r>
    </w:p>
    <w:p w14:paraId="7A5ED5FF" w14:textId="77777777" w:rsidR="00EF3297" w:rsidRPr="00FA6AEF" w:rsidRDefault="00EF3297" w:rsidP="00FA6AEF">
      <w:pPr>
        <w:spacing w:line="192" w:lineRule="auto"/>
        <w:jc w:val="center"/>
        <w:rPr>
          <w:rFonts w:asciiTheme="minorHAnsi" w:eastAsia="Cambria" w:hAnsiTheme="minorHAnsi" w:cstheme="minorHAnsi"/>
          <w:noProof/>
          <w:sz w:val="24"/>
          <w:szCs w:val="24"/>
        </w:rPr>
      </w:pPr>
    </w:p>
    <w:p w14:paraId="0F3A6F7E" w14:textId="67473E13" w:rsidR="005035C1" w:rsidRPr="004921EA" w:rsidRDefault="008554FA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  <w:r w:rsidRPr="004921EA">
        <w:rPr>
          <w:rFonts w:ascii="Georgia" w:hAnsi="Georgia"/>
          <w:b/>
          <w:bCs/>
          <w:color w:val="2F5496" w:themeColor="accent1" w:themeShade="BF"/>
          <w:sz w:val="40"/>
          <w:szCs w:val="40"/>
        </w:rPr>
        <w:t xml:space="preserve">Adolescent PCOS - A Primer for Clinicians </w:t>
      </w:r>
    </w:p>
    <w:p w14:paraId="33255CEF" w14:textId="77777777" w:rsidR="008554FA" w:rsidRPr="004921EA" w:rsidRDefault="008554FA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40"/>
          <w:szCs w:val="40"/>
        </w:rPr>
      </w:pPr>
    </w:p>
    <w:p w14:paraId="3B15CA18" w14:textId="749140B6" w:rsidR="00065155" w:rsidRPr="00065155" w:rsidRDefault="008554FA" w:rsidP="00F816A8">
      <w:pPr>
        <w:spacing w:line="216" w:lineRule="auto"/>
        <w:ind w:left="216"/>
        <w:jc w:val="center"/>
        <w:rPr>
          <w:rFonts w:ascii="Georgia" w:hAnsi="Georgia"/>
          <w:b/>
          <w:bCs/>
          <w:color w:val="2F5496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036C7D68" wp14:editId="7413B8D9">
            <wp:extent cx="1879600" cy="2061134"/>
            <wp:effectExtent l="0" t="0" r="6350" b="0"/>
            <wp:docPr id="4" name="Picture 4" descr="A close-up of a person sm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person sm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762" cy="20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070" w:type="dxa"/>
        <w:jc w:val="center"/>
        <w:tblBorders>
          <w:insideH w:val="single" w:sz="24" w:space="0" w:color="FFC000"/>
        </w:tblBorders>
        <w:tblLook w:val="04A0" w:firstRow="1" w:lastRow="0" w:firstColumn="1" w:lastColumn="0" w:noHBand="0" w:noVBand="1"/>
      </w:tblPr>
      <w:tblGrid>
        <w:gridCol w:w="1530"/>
        <w:gridCol w:w="8010"/>
        <w:gridCol w:w="1530"/>
      </w:tblGrid>
      <w:tr w:rsidR="001F3884" w14:paraId="659640D8" w14:textId="77777777" w:rsidTr="00F5464B">
        <w:trPr>
          <w:trHeight w:val="333"/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B7D3E" w14:textId="6686E20B" w:rsidR="007524D4" w:rsidRPr="005B328A" w:rsidRDefault="007524D4" w:rsidP="005B328A">
            <w:pPr>
              <w:jc w:val="center"/>
              <w:rPr>
                <w:rFonts w:ascii="Palatino Linotype" w:eastAsiaTheme="minorHAnsi" w:hAnsi="Palatino Linotype" w:cs="Palatino Linotype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1C1448" w14:textId="362EA74E" w:rsidR="008554FA" w:rsidRDefault="008554FA" w:rsidP="008554FA">
            <w:pPr>
              <w:pStyle w:val="Default"/>
            </w:pPr>
          </w:p>
          <w:p w14:paraId="74D07575" w14:textId="794791A4" w:rsidR="007524D4" w:rsidRPr="004F1811" w:rsidRDefault="008554FA" w:rsidP="008554FA">
            <w:pPr>
              <w:jc w:val="center"/>
              <w:rPr>
                <w:rFonts w:ascii="Palatino Linotype" w:eastAsia="Cambria" w:hAnsi="Palatino Linotype"/>
                <w:b/>
                <w:bCs/>
                <w:noProof/>
                <w:color w:val="2F5496" w:themeColor="accent1" w:themeShade="BF"/>
                <w:sz w:val="36"/>
                <w:szCs w:val="36"/>
              </w:rPr>
            </w:pPr>
            <w:r>
              <w:t xml:space="preserve"> </w:t>
            </w:r>
            <w:r w:rsidRPr="008554FA">
              <w:rPr>
                <w:b/>
                <w:bCs/>
                <w:color w:val="2F5496" w:themeColor="accent1" w:themeShade="BF"/>
                <w:sz w:val="36"/>
                <w:szCs w:val="36"/>
              </w:rPr>
              <w:t>Tania S. Burgert, M.D.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3703B5" w14:textId="73157C29" w:rsidR="007524D4" w:rsidRPr="001F3884" w:rsidRDefault="007524D4" w:rsidP="002C4A11">
            <w:pPr>
              <w:rPr>
                <w:rFonts w:ascii="Palatino Linotype" w:eastAsia="Cambria" w:hAnsi="Palatino Linotype"/>
                <w:b/>
                <w:bCs/>
                <w:noProof/>
                <w:color w:val="0078BF"/>
                <w:sz w:val="30"/>
                <w:szCs w:val="30"/>
              </w:rPr>
            </w:pPr>
          </w:p>
        </w:tc>
      </w:tr>
      <w:tr w:rsidR="001F3884" w14:paraId="1B963717" w14:textId="77777777" w:rsidTr="00F5464B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4D1BFE" w14:textId="5F9A9F4E" w:rsidR="007524D4" w:rsidRPr="005B328A" w:rsidRDefault="007524D4" w:rsidP="005B328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left="43" w:right="477"/>
              <w:jc w:val="center"/>
              <w:rPr>
                <w:rFonts w:ascii="Palatino Linotype" w:eastAsiaTheme="minorHAnsi" w:hAnsi="Palatino Linotype" w:cs="Palatino Linotype"/>
                <w:b/>
                <w:bCs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60C6C" w14:textId="77777777" w:rsidR="008554FA" w:rsidRDefault="008554FA" w:rsidP="008554F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right="477"/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8554FA">
              <w:rPr>
                <w:b/>
                <w:bCs/>
                <w:color w:val="2F5496" w:themeColor="accent1" w:themeShade="BF"/>
                <w:sz w:val="36"/>
                <w:szCs w:val="36"/>
              </w:rPr>
              <w:t>Associate Professor of Pediatrics</w:t>
            </w:r>
          </w:p>
          <w:p w14:paraId="50996990" w14:textId="08C53DAA" w:rsidR="004E7AC1" w:rsidRPr="004921EA" w:rsidRDefault="008554FA" w:rsidP="008554F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right="477"/>
              <w:jc w:val="center"/>
              <w:rPr>
                <w:rFonts w:ascii="Palatino Linotype" w:eastAsiaTheme="minorHAnsi" w:hAnsi="Palatino Linotype" w:cs="Palatino Linotype"/>
                <w:b/>
                <w:bCs/>
                <w:i/>
                <w:iCs/>
                <w:color w:val="2F5496" w:themeColor="accent1" w:themeShade="BF"/>
                <w:sz w:val="32"/>
                <w:szCs w:val="32"/>
              </w:rPr>
            </w:pPr>
            <w:r w:rsidRPr="004921EA"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>University of Missouri Kansas City</w:t>
            </w:r>
          </w:p>
          <w:p w14:paraId="64A9C1CC" w14:textId="684BAFF8" w:rsidR="002C4A11" w:rsidRPr="004F1811" w:rsidRDefault="002C4A11" w:rsidP="004921EA">
            <w:pPr>
              <w:kinsoku w:val="0"/>
              <w:overflowPunct w:val="0"/>
              <w:autoSpaceDE w:val="0"/>
              <w:autoSpaceDN w:val="0"/>
              <w:adjustRightInd w:val="0"/>
              <w:spacing w:before="22" w:line="180" w:lineRule="auto"/>
              <w:ind w:left="43" w:right="477"/>
              <w:jc w:val="center"/>
              <w:rPr>
                <w:rFonts w:ascii="Georgia" w:eastAsia="Cambria" w:hAnsi="Georgia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24" w:space="0" w:color="FFC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F3522" w14:textId="0D37A2F0" w:rsidR="007524D4" w:rsidRPr="008D3D02" w:rsidRDefault="007524D4" w:rsidP="00D73D1F">
            <w:pPr>
              <w:jc w:val="center"/>
              <w:rPr>
                <w:rFonts w:ascii="Georgia" w:eastAsia="Cambria" w:hAnsi="Georgia"/>
                <w:b/>
                <w:bCs/>
                <w:noProof/>
                <w:color w:val="0078BF"/>
                <w:sz w:val="32"/>
                <w:szCs w:val="32"/>
              </w:rPr>
            </w:pPr>
          </w:p>
        </w:tc>
      </w:tr>
    </w:tbl>
    <w:tbl>
      <w:tblPr>
        <w:tblStyle w:val="ListTable5Dark-Accent51"/>
        <w:tblW w:w="10530" w:type="dxa"/>
        <w:jc w:val="center"/>
        <w:tblBorders>
          <w:top w:val="none" w:sz="0" w:space="0" w:color="auto"/>
          <w:left w:val="none" w:sz="0" w:space="0" w:color="auto"/>
          <w:bottom w:val="single" w:sz="18" w:space="0" w:color="BDD6EE" w:themeColor="accent5" w:themeTint="66"/>
          <w:right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580"/>
        <w:gridCol w:w="4950"/>
      </w:tblGrid>
      <w:tr w:rsidR="00DF1B3C" w14:paraId="445D3C9C" w14:textId="77777777" w:rsidTr="005C5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80" w:type="dxa"/>
            <w:shd w:val="clear" w:color="auto" w:fill="2F5496" w:themeFill="accent1" w:themeFillShade="BF"/>
          </w:tcPr>
          <w:p w14:paraId="05897995" w14:textId="74E87B9D" w:rsidR="00DF1B3C" w:rsidRPr="001A0AF9" w:rsidRDefault="005C5449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sz w:val="28"/>
                <w:szCs w:val="28"/>
              </w:rPr>
            </w:pP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May 1</w:t>
            </w:r>
            <w:r w:rsidR="004921EA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9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, 2022</w:t>
            </w:r>
          </w:p>
          <w:p w14:paraId="060A02C1" w14:textId="12FB572C" w:rsidR="00DF1B3C" w:rsidRDefault="00DF1B3C" w:rsidP="00696300">
            <w:pPr>
              <w:spacing w:before="120" w:after="120"/>
              <w:ind w:left="216"/>
              <w:jc w:val="center"/>
              <w:rPr>
                <w:rFonts w:ascii="Arial" w:eastAsia="Cambria" w:hAnsi="Arial" w:cs="Arial"/>
                <w:b w:val="0"/>
                <w:bCs w:val="0"/>
                <w:sz w:val="44"/>
                <w:szCs w:val="44"/>
              </w:rPr>
            </w:pP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4:00</w:t>
            </w:r>
            <w:r w:rsidR="000F729A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-</w:t>
            </w:r>
            <w:r w:rsidR="000F729A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>5:00</w:t>
            </w:r>
            <w:r w:rsidR="002C34B0"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pm</w:t>
            </w:r>
            <w:r w:rsidRPr="001A0AF9">
              <w:rPr>
                <w:rFonts w:ascii="Arial" w:eastAsia="Cambria" w:hAnsi="Arial" w:cs="Arial"/>
                <w:b w:val="0"/>
                <w:bCs w:val="0"/>
                <w:sz w:val="28"/>
                <w:szCs w:val="28"/>
              </w:rPr>
              <w:t xml:space="preserve"> ▪ Virtual</w:t>
            </w:r>
          </w:p>
        </w:tc>
        <w:tc>
          <w:tcPr>
            <w:tcW w:w="4950" w:type="dxa"/>
            <w:shd w:val="clear" w:color="auto" w:fill="B4C6E7" w:themeFill="accent1" w:themeFillTint="66"/>
          </w:tcPr>
          <w:p w14:paraId="2FC2B1EF" w14:textId="77777777" w:rsidR="00490AEB" w:rsidRDefault="00490AEB" w:rsidP="00490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9184D60" w14:textId="6F2B4752" w:rsidR="00DF1B3C" w:rsidRPr="00490AEB" w:rsidRDefault="004921EA" w:rsidP="00490A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BA49B3" w:rsidRPr="00BA49B3">
                <w:rPr>
                  <w:rStyle w:val="Hyperlink"/>
                  <w:rFonts w:ascii="Helvetica Neue" w:hAnsi="Helvetica Neue"/>
                  <w:color w:val="2F5496" w:themeColor="accent1" w:themeShade="BF"/>
                  <w:sz w:val="21"/>
                  <w:szCs w:val="21"/>
                </w:rPr>
                <w:t>https://zoom.us/j/94267432468</w:t>
              </w:r>
            </w:hyperlink>
            <w:r w:rsidR="00BA49B3" w:rsidRPr="00BA49B3">
              <w:rPr>
                <w:rFonts w:ascii="Helvetica Neue" w:hAnsi="Helvetica Neue"/>
                <w:color w:val="2F5496" w:themeColor="accent1" w:themeShade="BF"/>
                <w:sz w:val="21"/>
                <w:szCs w:val="21"/>
              </w:rPr>
              <w:br/>
              <w:t>US: +12034329666</w:t>
            </w:r>
            <w:r w:rsidR="00BA49B3" w:rsidRPr="00BA49B3">
              <w:rPr>
                <w:rFonts w:ascii="Helvetica Neue" w:hAnsi="Helvetica Neue"/>
                <w:color w:val="2F5496" w:themeColor="accent1" w:themeShade="BF"/>
                <w:sz w:val="21"/>
                <w:szCs w:val="21"/>
              </w:rPr>
              <w:br/>
              <w:t>Webinar ID: 942 6743 2468</w:t>
            </w:r>
            <w:r w:rsidR="00BA49B3">
              <w:rPr>
                <w:rFonts w:ascii="Helvetica Neue" w:hAnsi="Helvetica Neue"/>
                <w:sz w:val="21"/>
                <w:szCs w:val="21"/>
              </w:rPr>
              <w:br/>
            </w:r>
          </w:p>
        </w:tc>
      </w:tr>
      <w:tr w:rsidR="00DF1B3C" w14:paraId="2CF70476" w14:textId="77777777" w:rsidTr="005C5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0" w:type="dxa"/>
            <w:tcBorders>
              <w:bottom w:val="nil"/>
              <w:right w:val="single" w:sz="12" w:space="0" w:color="00B0F0"/>
            </w:tcBorders>
            <w:vAlign w:val="center"/>
          </w:tcPr>
          <w:p w14:paraId="47EAF341" w14:textId="41122C0C" w:rsidR="00DF1B3C" w:rsidRPr="004921EA" w:rsidRDefault="00DF1B3C" w:rsidP="00696300">
            <w:pP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  <w:r w:rsidRPr="004921EA">
              <w:rPr>
                <w:rFonts w:ascii="Arial" w:eastAsia="Cambria" w:hAnsi="Arial" w:cs="Arial"/>
                <w:sz w:val="22"/>
                <w:szCs w:val="22"/>
              </w:rPr>
              <w:t>Needs:</w:t>
            </w:r>
          </w:p>
          <w:p w14:paraId="7130929C" w14:textId="6F756B19" w:rsidR="008554FA" w:rsidRPr="004921EA" w:rsidRDefault="008554FA" w:rsidP="00696300">
            <w:pPr>
              <w:rPr>
                <w:rFonts w:ascii="Arial" w:eastAsia="Cambria" w:hAnsi="Arial" w:cs="Arial"/>
                <w:b w:val="0"/>
                <w:bCs w:val="0"/>
                <w:sz w:val="22"/>
                <w:szCs w:val="22"/>
              </w:rPr>
            </w:pPr>
          </w:p>
          <w:p w14:paraId="069A84D0" w14:textId="6FA5E9AC" w:rsidR="008554FA" w:rsidRPr="004921EA" w:rsidRDefault="008554FA" w:rsidP="0069630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4921EA">
              <w:rPr>
                <w:rFonts w:ascii="Arial" w:eastAsia="Cambria" w:hAnsi="Arial" w:cs="Arial"/>
                <w:sz w:val="22"/>
                <w:szCs w:val="22"/>
              </w:rPr>
              <w:t xml:space="preserve">In a recent survey of US-based OBGYN </w:t>
            </w:r>
            <w:r w:rsidR="004921EA" w:rsidRPr="004921EA">
              <w:rPr>
                <w:rFonts w:ascii="Arial" w:eastAsia="Cambria" w:hAnsi="Arial" w:cs="Arial"/>
                <w:sz w:val="22"/>
                <w:szCs w:val="22"/>
              </w:rPr>
              <w:t>residents, only</w:t>
            </w:r>
            <w:r w:rsidRPr="004921EA">
              <w:rPr>
                <w:rFonts w:ascii="Arial" w:eastAsia="Cambria" w:hAnsi="Arial" w:cs="Arial"/>
                <w:sz w:val="22"/>
                <w:szCs w:val="22"/>
              </w:rPr>
              <w:t xml:space="preserve"> 55% correctly identified the 3 diagnostic criteria for PCOS</w:t>
            </w:r>
          </w:p>
          <w:p w14:paraId="1B82E280" w14:textId="5D3E419E" w:rsidR="00501CE5" w:rsidRPr="004921EA" w:rsidRDefault="00501CE5" w:rsidP="008554FA">
            <w:pPr>
              <w:rPr>
                <w:rFonts w:ascii="Arial" w:eastAsia="Cambria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12" w:space="0" w:color="00B0F0"/>
              <w:bottom w:val="nil"/>
            </w:tcBorders>
            <w:shd w:val="clear" w:color="auto" w:fill="D5DCE4" w:themeFill="text2" w:themeFillTint="33"/>
            <w:vAlign w:val="center"/>
          </w:tcPr>
          <w:p w14:paraId="073812D5" w14:textId="77777777" w:rsidR="00DF1B3C" w:rsidRPr="004921EA" w:rsidRDefault="00DF1B3C" w:rsidP="00696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921EA">
              <w:rPr>
                <w:rFonts w:ascii="Arial" w:eastAsia="Cambria" w:hAnsi="Arial" w:cs="Arial"/>
                <w:b/>
                <w:bCs/>
                <w:color w:val="000000" w:themeColor="text1"/>
                <w:sz w:val="22"/>
                <w:szCs w:val="22"/>
              </w:rPr>
              <w:t xml:space="preserve">Program Goals: </w:t>
            </w:r>
          </w:p>
          <w:p w14:paraId="63496D3C" w14:textId="2A6E7203" w:rsidR="005C5449" w:rsidRPr="004921EA" w:rsidRDefault="008554FA" w:rsidP="005C544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21EA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4921EA">
              <w:rPr>
                <w:rFonts w:ascii="Arial" w:hAnsi="Arial" w:cs="Arial"/>
                <w:color w:val="auto"/>
                <w:sz w:val="22"/>
                <w:szCs w:val="22"/>
              </w:rPr>
              <w:t>ccurately diagnose adolescent PCOS based on the international evidence-based guideline</w:t>
            </w:r>
            <w:r w:rsidR="00763872" w:rsidRPr="004921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12F09222" w14:textId="0EC49776" w:rsidR="005C5449" w:rsidRPr="004921EA" w:rsidRDefault="008554FA" w:rsidP="005C544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921EA"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Pr="004921EA">
              <w:rPr>
                <w:rFonts w:ascii="Arial" w:hAnsi="Arial" w:cs="Arial"/>
                <w:color w:val="auto"/>
                <w:sz w:val="22"/>
                <w:szCs w:val="22"/>
              </w:rPr>
              <w:t>nderstand the pathophysiology of PCOS and latest concepts in terms of genetic underpinnings</w:t>
            </w:r>
            <w:r w:rsidR="00763872" w:rsidRPr="004921EA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1A0B2C5" w14:textId="6641679E" w:rsidR="00DF1B3C" w:rsidRPr="004921EA" w:rsidRDefault="004921EA" w:rsidP="008554F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8554FA" w:rsidRPr="004921EA">
              <w:rPr>
                <w:rFonts w:ascii="Arial" w:hAnsi="Arial" w:cs="Arial"/>
                <w:color w:val="auto"/>
                <w:sz w:val="22"/>
                <w:szCs w:val="22"/>
              </w:rPr>
              <w:t>pply standard and natural treatment paradigms to adolescent PCOS patients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DF1B3C" w14:paraId="242D6AC0" w14:textId="77777777" w:rsidTr="00FA6AEF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2"/>
            <w:tcBorders>
              <w:top w:val="nil"/>
              <w:right w:val="none" w:sz="0" w:space="0" w:color="auto"/>
            </w:tcBorders>
            <w:shd w:val="clear" w:color="auto" w:fill="2F5496" w:themeFill="accent1" w:themeFillShade="BF"/>
            <w:vAlign w:val="center"/>
          </w:tcPr>
          <w:p w14:paraId="1B72F4FE" w14:textId="77777777" w:rsidR="00DF1B3C" w:rsidRPr="00F816A8" w:rsidRDefault="00DF1B3C" w:rsidP="00696300">
            <w:pPr>
              <w:spacing w:before="120" w:after="200"/>
              <w:rPr>
                <w:rFonts w:ascii="Arial" w:eastAsia="Cambria" w:hAnsi="Arial" w:cs="Arial"/>
              </w:rPr>
            </w:pPr>
            <w:r w:rsidRPr="00F816A8">
              <w:rPr>
                <w:rFonts w:ascii="Arial" w:eastAsia="Cambria" w:hAnsi="Arial" w:cs="Arial"/>
              </w:rPr>
              <w:t xml:space="preserve">Target Audience: </w:t>
            </w:r>
            <w:r w:rsidRPr="00F816A8">
              <w:rPr>
                <w:rFonts w:ascii="Arial" w:eastAsia="Cambria" w:hAnsi="Arial" w:cs="Arial"/>
                <w:noProof/>
              </w:rPr>
              <w:t>Ob/Gyn</w:t>
            </w:r>
          </w:p>
        </w:tc>
      </w:tr>
    </w:tbl>
    <w:p w14:paraId="020B7DA1" w14:textId="79072ED9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>Financial Disclosure Information:</w:t>
      </w:r>
    </w:p>
    <w:p w14:paraId="60BC6297" w14:textId="1C30CE56" w:rsidR="00F5464B" w:rsidRDefault="004921EA" w:rsidP="00AC5C2E">
      <w:pPr>
        <w:ind w:left="-540" w:right="-720"/>
        <w:rPr>
          <w:sz w:val="16"/>
          <w:szCs w:val="16"/>
        </w:rPr>
      </w:pPr>
      <w:r w:rsidRPr="004921EA">
        <w:rPr>
          <w:b/>
          <w:bCs/>
          <w:color w:val="2F5496" w:themeColor="accent1" w:themeShade="BF"/>
          <w:sz w:val="16"/>
          <w:szCs w:val="16"/>
        </w:rPr>
        <w:t>Tania S. Burgert, M.D</w:t>
      </w:r>
      <w:r w:rsidRPr="008554FA">
        <w:rPr>
          <w:b/>
          <w:bCs/>
          <w:color w:val="2F5496" w:themeColor="accent1" w:themeShade="BF"/>
          <w:sz w:val="36"/>
          <w:szCs w:val="36"/>
        </w:rPr>
        <w:t>.</w:t>
      </w:r>
      <w:r w:rsidR="00CA591D" w:rsidRPr="004F1811">
        <w:rPr>
          <w:sz w:val="16"/>
          <w:szCs w:val="16"/>
        </w:rPr>
        <w:t>,</w:t>
      </w:r>
      <w:r w:rsidR="00CA591D">
        <w:rPr>
          <w:sz w:val="16"/>
          <w:szCs w:val="16"/>
        </w:rPr>
        <w:t xml:space="preserve"> </w:t>
      </w:r>
      <w:r w:rsidR="00C87128">
        <w:rPr>
          <w:sz w:val="16"/>
          <w:szCs w:val="16"/>
        </w:rPr>
        <w:t xml:space="preserve">faculty for this educational activity, </w:t>
      </w:r>
      <w:r w:rsidR="00CA591D">
        <w:rPr>
          <w:sz w:val="16"/>
          <w:szCs w:val="16"/>
        </w:rPr>
        <w:t>has no relevant financial relationship(s) with ineligible companies to disclose.</w:t>
      </w:r>
    </w:p>
    <w:p w14:paraId="1A4FDA0E" w14:textId="77777777" w:rsidR="00CA591D" w:rsidRPr="00FA6AEF" w:rsidRDefault="00CA591D" w:rsidP="00AC5C2E">
      <w:pPr>
        <w:ind w:left="-540" w:right="-720"/>
        <w:rPr>
          <w:rFonts w:eastAsia="Cambria"/>
          <w:i/>
          <w:sz w:val="16"/>
          <w:szCs w:val="16"/>
        </w:rPr>
      </w:pPr>
    </w:p>
    <w:p w14:paraId="3FD37C3B" w14:textId="77777777" w:rsidR="00C87128" w:rsidRPr="00512139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F51CA16" w14:textId="280F3746" w:rsidR="00C87128" w:rsidRDefault="00C87128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6AC8368B" w14:textId="77777777" w:rsidR="00AC5C2E" w:rsidRPr="00FA6AEF" w:rsidRDefault="00AC5C2E" w:rsidP="00CF44F1">
      <w:pPr>
        <w:ind w:left="-540" w:right="-720"/>
        <w:rPr>
          <w:rFonts w:ascii="Arial" w:eastAsia="Cambria" w:hAnsi="Arial" w:cs="Arial"/>
          <w:i/>
          <w:sz w:val="16"/>
          <w:szCs w:val="16"/>
        </w:rPr>
      </w:pPr>
    </w:p>
    <w:p w14:paraId="49626ACE" w14:textId="1C9AA88B" w:rsidR="008554FA" w:rsidRPr="004921EA" w:rsidRDefault="00C87128" w:rsidP="004921EA">
      <w:pPr>
        <w:ind w:left="-540" w:right="-720"/>
        <w:rPr>
          <w:rFonts w:ascii="Arial" w:eastAsia="Cambria" w:hAnsi="Arial" w:cs="Arial"/>
          <w:b/>
          <w:bCs/>
          <w:noProof/>
          <w:sz w:val="16"/>
          <w:szCs w:val="16"/>
        </w:rPr>
      </w:pPr>
      <w:r w:rsidRPr="00FA6AEF">
        <w:rPr>
          <w:rFonts w:ascii="Arial" w:eastAsia="Cambria" w:hAnsi="Arial" w:cs="Arial"/>
          <w:b/>
          <w:bCs/>
          <w:sz w:val="16"/>
          <w:szCs w:val="16"/>
        </w:rPr>
        <w:t>For questions, email</w:t>
      </w:r>
      <w:r w:rsidR="00FB1E9B">
        <w:rPr>
          <w:rFonts w:ascii="Arial" w:eastAsia="Cambria" w:hAnsi="Arial" w:cs="Arial"/>
          <w:b/>
          <w:bCs/>
          <w:sz w:val="16"/>
          <w:szCs w:val="16"/>
        </w:rPr>
        <w:t xml:space="preserve">: </w:t>
      </w:r>
      <w:r w:rsidRPr="00FA6AEF">
        <w:rPr>
          <w:rFonts w:ascii="Arial" w:eastAsia="Cambria" w:hAnsi="Arial" w:cs="Arial"/>
          <w:b/>
          <w:bCs/>
          <w:sz w:val="16"/>
          <w:szCs w:val="16"/>
        </w:rPr>
        <w:t xml:space="preserve"> </w:t>
      </w:r>
      <w:r w:rsidR="005C5449">
        <w:rPr>
          <w:rFonts w:ascii="Arial" w:eastAsia="Cambria" w:hAnsi="Arial" w:cs="Arial"/>
          <w:b/>
          <w:bCs/>
          <w:sz w:val="16"/>
          <w:szCs w:val="16"/>
        </w:rPr>
        <w:t>wendy.wojczak@yale.edu</w:t>
      </w:r>
      <w:r w:rsidR="00FB1E9B">
        <w:rPr>
          <w:rFonts w:ascii="Arial" w:eastAsia="Cambria" w:hAnsi="Arial" w:cs="Arial"/>
          <w:b/>
          <w:bCs/>
          <w:noProof/>
          <w:sz w:val="16"/>
          <w:szCs w:val="16"/>
        </w:rPr>
        <w:t xml:space="preserve"> </w:t>
      </w:r>
    </w:p>
    <w:sectPr w:rsidR="008554FA" w:rsidRPr="004921EA" w:rsidSect="005035C1">
      <w:headerReference w:type="default" r:id="rId10"/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F8F4" w14:textId="77777777" w:rsidR="006F4901" w:rsidRDefault="006F4901">
      <w:r>
        <w:separator/>
      </w:r>
    </w:p>
  </w:endnote>
  <w:endnote w:type="continuationSeparator" w:id="0">
    <w:p w14:paraId="0FD7435B" w14:textId="77777777" w:rsidR="006F4901" w:rsidRDefault="006F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Arial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2B9F" w14:textId="77777777" w:rsidR="006F4901" w:rsidRDefault="006F4901">
      <w:r>
        <w:separator/>
      </w:r>
    </w:p>
  </w:footnote>
  <w:footnote w:type="continuationSeparator" w:id="0">
    <w:p w14:paraId="78AD0FB2" w14:textId="77777777" w:rsidR="006F4901" w:rsidRDefault="006F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207AA" w14:textId="528753A6" w:rsidR="00525504" w:rsidRDefault="00D66C4B" w:rsidP="00024E40">
    <w:pPr>
      <w:pStyle w:val="Header"/>
      <w:tabs>
        <w:tab w:val="clear" w:pos="4680"/>
        <w:tab w:val="clear" w:pos="9360"/>
        <w:tab w:val="left" w:pos="8361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354A023F" wp14:editId="7344EBEC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DA9"/>
    <w:multiLevelType w:val="hybridMultilevel"/>
    <w:tmpl w:val="F63C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0FE2"/>
    <w:multiLevelType w:val="hybridMultilevel"/>
    <w:tmpl w:val="F10E308E"/>
    <w:lvl w:ilvl="0" w:tplc="FC8C4A5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92"/>
    <w:rsid w:val="00024E40"/>
    <w:rsid w:val="00065155"/>
    <w:rsid w:val="000A5500"/>
    <w:rsid w:val="000F729A"/>
    <w:rsid w:val="00191995"/>
    <w:rsid w:val="001A0AF9"/>
    <w:rsid w:val="001A1303"/>
    <w:rsid w:val="001E1393"/>
    <w:rsid w:val="001F3884"/>
    <w:rsid w:val="00235EAA"/>
    <w:rsid w:val="0024683F"/>
    <w:rsid w:val="00283A77"/>
    <w:rsid w:val="002C0B08"/>
    <w:rsid w:val="002C34B0"/>
    <w:rsid w:val="002C4A11"/>
    <w:rsid w:val="00305F03"/>
    <w:rsid w:val="003343DF"/>
    <w:rsid w:val="00347136"/>
    <w:rsid w:val="00380449"/>
    <w:rsid w:val="003D2B07"/>
    <w:rsid w:val="003D4B5E"/>
    <w:rsid w:val="003E0EA6"/>
    <w:rsid w:val="00405E60"/>
    <w:rsid w:val="004373A0"/>
    <w:rsid w:val="00451E2F"/>
    <w:rsid w:val="00467303"/>
    <w:rsid w:val="00475E1A"/>
    <w:rsid w:val="00490AEB"/>
    <w:rsid w:val="004921EA"/>
    <w:rsid w:val="004D209A"/>
    <w:rsid w:val="004E7AC1"/>
    <w:rsid w:val="004F1811"/>
    <w:rsid w:val="00501CE5"/>
    <w:rsid w:val="005035C1"/>
    <w:rsid w:val="00517FC3"/>
    <w:rsid w:val="005350BB"/>
    <w:rsid w:val="00541B90"/>
    <w:rsid w:val="0058272A"/>
    <w:rsid w:val="005B328A"/>
    <w:rsid w:val="005C5449"/>
    <w:rsid w:val="00600E63"/>
    <w:rsid w:val="00620B49"/>
    <w:rsid w:val="006F4901"/>
    <w:rsid w:val="007524D4"/>
    <w:rsid w:val="00763872"/>
    <w:rsid w:val="00793720"/>
    <w:rsid w:val="00800E1D"/>
    <w:rsid w:val="00821B1E"/>
    <w:rsid w:val="00823538"/>
    <w:rsid w:val="00824E43"/>
    <w:rsid w:val="00841998"/>
    <w:rsid w:val="00846F47"/>
    <w:rsid w:val="008554FA"/>
    <w:rsid w:val="008B2F61"/>
    <w:rsid w:val="008B60EE"/>
    <w:rsid w:val="008D1146"/>
    <w:rsid w:val="008D3D02"/>
    <w:rsid w:val="009001A9"/>
    <w:rsid w:val="00922548"/>
    <w:rsid w:val="009229DD"/>
    <w:rsid w:val="00931292"/>
    <w:rsid w:val="009353A0"/>
    <w:rsid w:val="009466EE"/>
    <w:rsid w:val="00991ED5"/>
    <w:rsid w:val="009B1F44"/>
    <w:rsid w:val="009B743F"/>
    <w:rsid w:val="009C3BA0"/>
    <w:rsid w:val="00A410C5"/>
    <w:rsid w:val="00A7732C"/>
    <w:rsid w:val="00A8547D"/>
    <w:rsid w:val="00AB3712"/>
    <w:rsid w:val="00AC0185"/>
    <w:rsid w:val="00AC5C2E"/>
    <w:rsid w:val="00AC68CB"/>
    <w:rsid w:val="00AD1B63"/>
    <w:rsid w:val="00AE2EC5"/>
    <w:rsid w:val="00AF3CBA"/>
    <w:rsid w:val="00B23FD8"/>
    <w:rsid w:val="00BA49B3"/>
    <w:rsid w:val="00BA67DD"/>
    <w:rsid w:val="00BD7266"/>
    <w:rsid w:val="00C87128"/>
    <w:rsid w:val="00CA591D"/>
    <w:rsid w:val="00CF0821"/>
    <w:rsid w:val="00CF44F1"/>
    <w:rsid w:val="00D27DB7"/>
    <w:rsid w:val="00D36EFD"/>
    <w:rsid w:val="00D66C4B"/>
    <w:rsid w:val="00D70669"/>
    <w:rsid w:val="00DD07AB"/>
    <w:rsid w:val="00DE76E9"/>
    <w:rsid w:val="00DF1B3C"/>
    <w:rsid w:val="00E01DCC"/>
    <w:rsid w:val="00E421F0"/>
    <w:rsid w:val="00EA71CA"/>
    <w:rsid w:val="00EB41E6"/>
    <w:rsid w:val="00EC67C9"/>
    <w:rsid w:val="00EE15ED"/>
    <w:rsid w:val="00EF3297"/>
    <w:rsid w:val="00F024D3"/>
    <w:rsid w:val="00F422AC"/>
    <w:rsid w:val="00F42CD7"/>
    <w:rsid w:val="00F5464B"/>
    <w:rsid w:val="00F816A8"/>
    <w:rsid w:val="00F81FC1"/>
    <w:rsid w:val="00FA5C17"/>
    <w:rsid w:val="00FA6AEF"/>
    <w:rsid w:val="00FB1E9B"/>
    <w:rsid w:val="00FE6431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DAB2D"/>
  <w15:docId w15:val="{5B7B8232-B450-4AEB-8367-2AFFAEA9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43D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490A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22AC"/>
    <w:pPr>
      <w:ind w:left="720"/>
      <w:contextualSpacing/>
    </w:pPr>
  </w:style>
  <w:style w:type="paragraph" w:customStyle="1" w:styleId="Default">
    <w:name w:val="Default"/>
    <w:rsid w:val="00855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42674324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1792-F544-4777-86F2-BBEBDA3C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WOJCZAK, WENDY</cp:lastModifiedBy>
  <cp:revision>3</cp:revision>
  <cp:lastPrinted>2022-05-16T12:38:00Z</cp:lastPrinted>
  <dcterms:created xsi:type="dcterms:W3CDTF">2022-05-16T12:37:00Z</dcterms:created>
  <dcterms:modified xsi:type="dcterms:W3CDTF">2022-05-16T12:59:00Z</dcterms:modified>
</cp:coreProperties>
</file>