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1822" w14:textId="41708963" w:rsidR="000A4A5D" w:rsidRDefault="00000000" w:rsidP="00BD0EA5">
      <w:pPr>
        <w:tabs>
          <w:tab w:val="right" w:pos="9360"/>
        </w:tabs>
      </w:pPr>
      <w:r>
        <w:tab/>
      </w:r>
    </w:p>
    <w:p w14:paraId="2A7EBD86" w14:textId="14920904" w:rsidR="000A4A5D" w:rsidRPr="008438EA" w:rsidRDefault="00000000" w:rsidP="008438EA">
      <w:pPr>
        <w:pStyle w:val="granted"/>
        <w:spacing w:before="0" w:beforeAutospacing="0"/>
        <w:rPr>
          <w:rFonts w:ascii="Arial" w:hAnsi="Arial" w:cs="Arial"/>
          <w:color w:val="auto"/>
          <w:sz w:val="20"/>
          <w:szCs w:val="20"/>
        </w:rPr>
      </w:pPr>
      <w:r w:rsidRPr="008438EA">
        <w:rPr>
          <w:rFonts w:ascii="Arial" w:hAnsi="Arial" w:cs="Arial"/>
          <w:color w:val="auto"/>
          <w:sz w:val="20"/>
          <w:szCs w:val="20"/>
        </w:rPr>
        <w:t>Presented by</w:t>
      </w:r>
      <w:r w:rsidR="00BD0EA5">
        <w:rPr>
          <w:rFonts w:ascii="Arial" w:hAnsi="Arial" w:cs="Arial"/>
          <w:color w:val="auto"/>
          <w:sz w:val="20"/>
          <w:szCs w:val="20"/>
        </w:rPr>
        <w:t xml:space="preserve"> Yale Rheumatology, Allergy &amp; Immunology</w:t>
      </w:r>
    </w:p>
    <w:p w14:paraId="5B398A1B" w14:textId="77777777" w:rsidR="000D2BA9" w:rsidRDefault="00000000" w:rsidP="00743043">
      <w:pPr>
        <w:jc w:val="center"/>
        <w:rPr>
          <w:rFonts w:ascii="Georgia" w:eastAsia="Cambria" w:hAnsi="Georgia"/>
          <w:b/>
          <w:bCs/>
          <w:noProof/>
          <w:color w:val="0078BF"/>
          <w:sz w:val="28"/>
          <w:szCs w:val="28"/>
        </w:rPr>
      </w:pPr>
    </w:p>
    <w:p w14:paraId="49741223" w14:textId="77777777" w:rsidR="00164471" w:rsidRPr="00BD0EA5" w:rsidRDefault="00000000" w:rsidP="00512139">
      <w:pPr>
        <w:spacing w:after="200"/>
        <w:jc w:val="center"/>
        <w:rPr>
          <w:rFonts w:ascii="Georgia" w:eastAsia="Cambria" w:hAnsi="Georgia"/>
          <w:b/>
          <w:bCs/>
          <w:noProof/>
          <w:color w:val="0078BF"/>
          <w:sz w:val="36"/>
          <w:szCs w:val="36"/>
        </w:rPr>
      </w:pPr>
      <w:r w:rsidRPr="00BD0EA5">
        <w:rPr>
          <w:rFonts w:ascii="Georgia" w:eastAsia="Cambria" w:hAnsi="Georgia"/>
          <w:b/>
          <w:bCs/>
          <w:noProof/>
          <w:color w:val="0078BF"/>
          <w:sz w:val="36"/>
          <w:szCs w:val="36"/>
        </w:rPr>
        <w:t>What’s in a Name?</w:t>
      </w:r>
    </w:p>
    <w:p w14:paraId="04E8AAE0" w14:textId="4125B0BD" w:rsidR="00C86889" w:rsidRPr="00CC0ABE" w:rsidRDefault="00000000"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9/14/2022 8:00 AM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9/14/2022 9:00 AM </w:t>
      </w:r>
      <w:r w:rsidRPr="00CC0ABE">
        <w:rPr>
          <w:rFonts w:ascii="Arial" w:eastAsia="Cambria" w:hAnsi="Arial"/>
          <w:noProof/>
          <w:color w:val="0078BF"/>
          <w:sz w:val="22"/>
          <w:szCs w:val="22"/>
        </w:rPr>
        <w:t>|</w:t>
      </w:r>
      <w:r w:rsidRPr="00CC0ABE">
        <w:rPr>
          <w:rFonts w:ascii="Arial" w:eastAsia="Cambria" w:hAnsi="Arial"/>
          <w:noProof/>
          <w:sz w:val="22"/>
          <w:szCs w:val="22"/>
        </w:rPr>
        <w:t xml:space="preserve"> The Anlyan Center (TAC N-107)</w:t>
      </w:r>
      <w:r w:rsidR="00BD0EA5">
        <w:rPr>
          <w:rFonts w:ascii="Arial" w:eastAsia="Cambria" w:hAnsi="Arial"/>
          <w:noProof/>
          <w:sz w:val="22"/>
          <w:szCs w:val="22"/>
        </w:rPr>
        <w:t xml:space="preserve"> auditorium</w:t>
      </w:r>
    </w:p>
    <w:p w14:paraId="6412BCF4" w14:textId="77777777" w:rsidR="00BD0EA5" w:rsidRDefault="00000000" w:rsidP="00BD0EA5">
      <w:pPr>
        <w:spacing w:after="200"/>
        <w:jc w:val="center"/>
        <w:rPr>
          <w:rFonts w:ascii="Arial" w:eastAsia="Cambria" w:hAnsi="Arial" w:cs="Arial"/>
          <w:noProof/>
          <w:color w:val="000000"/>
          <w:sz w:val="22"/>
          <w:szCs w:val="22"/>
        </w:rPr>
      </w:pPr>
      <w:r>
        <w:t>Rheumatology Grand Rounds is a weekly conference focused on educating physicians, nurses, researchers, and students about the field of rheumatology and related diseases.</w:t>
      </w:r>
    </w:p>
    <w:p w14:paraId="3ED81EE2" w14:textId="24DA4195" w:rsidR="00527E2C" w:rsidRPr="00BD0EA5" w:rsidRDefault="00000000" w:rsidP="00BD0EA5">
      <w:pPr>
        <w:spacing w:after="200"/>
        <w:jc w:val="center"/>
        <w:rPr>
          <w:rFonts w:ascii="Arial" w:eastAsia="Cambria" w:hAnsi="Arial" w:cs="Arial"/>
          <w:noProof/>
          <w:color w:val="000000"/>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35411</w:t>
      </w:r>
    </w:p>
    <w:p w14:paraId="04258897" w14:textId="77777777" w:rsidR="00527E2C" w:rsidRPr="009C1A30" w:rsidRDefault="00000000"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21" w:type="pct"/>
        <w:tblCellSpacing w:w="15" w:type="dxa"/>
        <w:tblCellMar>
          <w:top w:w="15" w:type="dxa"/>
          <w:left w:w="15" w:type="dxa"/>
          <w:bottom w:w="15" w:type="dxa"/>
          <w:right w:w="15" w:type="dxa"/>
        </w:tblCellMar>
        <w:tblLook w:val="04A0" w:firstRow="1" w:lastRow="0" w:firstColumn="1" w:lastColumn="0" w:noHBand="0" w:noVBand="1"/>
      </w:tblPr>
      <w:tblGrid>
        <w:gridCol w:w="9399"/>
      </w:tblGrid>
      <w:tr w:rsidR="009D1738" w14:paraId="24639942" w14:textId="77777777" w:rsidTr="00BD0EA5">
        <w:trPr>
          <w:trHeight w:val="233"/>
          <w:tblCellSpacing w:w="15" w:type="dxa"/>
        </w:trPr>
        <w:tc>
          <w:tcPr>
            <w:tcW w:w="0" w:type="auto"/>
            <w:vAlign w:val="center"/>
          </w:tcPr>
          <w:p w14:paraId="2EF5BD15" w14:textId="77777777" w:rsidR="009D1738" w:rsidRDefault="00000000">
            <w:r>
              <w:t>Andrew Wang, MD, PhD</w:t>
            </w:r>
          </w:p>
        </w:tc>
      </w:tr>
      <w:tr w:rsidR="009D1738" w14:paraId="1326734B" w14:textId="77777777" w:rsidTr="00BD0EA5">
        <w:trPr>
          <w:trHeight w:val="233"/>
          <w:tblCellSpacing w:w="15" w:type="dxa"/>
        </w:trPr>
        <w:tc>
          <w:tcPr>
            <w:tcW w:w="0" w:type="auto"/>
            <w:vAlign w:val="center"/>
          </w:tcPr>
          <w:p w14:paraId="1BFB4F85" w14:textId="77777777" w:rsidR="009D1738" w:rsidRDefault="00000000">
            <w:r>
              <w:t>Assistant Professor of Medicine and Immunobiology</w:t>
            </w:r>
          </w:p>
        </w:tc>
      </w:tr>
      <w:tr w:rsidR="009D1738" w14:paraId="37EE58C3" w14:textId="77777777" w:rsidTr="00BD0EA5">
        <w:trPr>
          <w:trHeight w:val="220"/>
          <w:tblCellSpacing w:w="15" w:type="dxa"/>
        </w:trPr>
        <w:tc>
          <w:tcPr>
            <w:tcW w:w="0" w:type="auto"/>
            <w:vAlign w:val="center"/>
          </w:tcPr>
          <w:p w14:paraId="4521ACC8" w14:textId="77777777" w:rsidR="009D1738" w:rsidRDefault="00000000">
            <w:r>
              <w:t>Yale</w:t>
            </w:r>
          </w:p>
        </w:tc>
      </w:tr>
    </w:tbl>
    <w:p w14:paraId="05ABE7DD" w14:textId="68617174" w:rsidR="009D1738" w:rsidRDefault="00BD0EA5">
      <w:r>
        <w:tab/>
      </w:r>
    </w:p>
    <w:p w14:paraId="2EEABEEF" w14:textId="77777777" w:rsidR="007E125F" w:rsidRDefault="00000000" w:rsidP="00C86889">
      <w:pPr>
        <w:spacing w:after="200"/>
        <w:rPr>
          <w:rStyle w:val="Strong"/>
          <w:rFonts w:ascii="Arial" w:hAnsi="Arial" w:cs="Arial"/>
          <w:color w:val="2E2E2E"/>
          <w:sz w:val="21"/>
          <w:szCs w:val="21"/>
          <w:shd w:val="clear" w:color="auto" w:fill="FFFFFF"/>
        </w:rPr>
      </w:pPr>
      <w:r>
        <w:rPr>
          <w:rFonts w:ascii="Arial" w:eastAsia="Cambria" w:hAnsi="Arial" w:cs="Arial"/>
          <w:b/>
          <w:bCs/>
          <w:sz w:val="22"/>
          <w:szCs w:val="22"/>
        </w:rPr>
        <w:t xml:space="preserve">Course Director &amp; </w:t>
      </w:r>
      <w:r w:rsidRPr="007E125F">
        <w:rPr>
          <w:rFonts w:ascii="Arial" w:eastAsia="Cambria" w:hAnsi="Arial" w:cs="Arial"/>
          <w:b/>
          <w:bCs/>
          <w:sz w:val="22"/>
          <w:szCs w:val="22"/>
        </w:rPr>
        <w:t>Planning Committee:</w:t>
      </w:r>
      <w:r>
        <w:rPr>
          <w:rFonts w:ascii="Arial" w:eastAsia="Cambria" w:hAnsi="Arial" w:cs="Arial"/>
          <w:b/>
          <w:bCs/>
          <w:sz w:val="22"/>
          <w:szCs w:val="22"/>
        </w:rPr>
        <w:t xml:space="preserve"> </w:t>
      </w:r>
      <w:r>
        <w:rPr>
          <w:rFonts w:ascii="Arial" w:eastAsia="Cambria" w:hAnsi="Arial" w:cs="Arial"/>
          <w:b/>
          <w:bCs/>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9D1738" w14:paraId="62090456"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7EABB2C2" w14:textId="77777777" w:rsidR="009D1738" w:rsidRDefault="00000000">
            <w:pPr>
              <w:jc w:val="center"/>
            </w:pPr>
            <w:r>
              <w:rPr>
                <w:b/>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1BF5B7D0" w14:textId="77777777" w:rsidR="009D1738" w:rsidRDefault="00000000">
            <w:pPr>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3C995970" w14:textId="77777777" w:rsidR="009D1738" w:rsidRDefault="00000000">
            <w:pPr>
              <w:jc w:val="center"/>
            </w:pPr>
            <w:r>
              <w:rPr>
                <w:b/>
              </w:rPr>
              <w:t>Name of Ineligible Company(s) / Nature of Relationship(s)</w:t>
            </w:r>
          </w:p>
        </w:tc>
      </w:tr>
      <w:tr w:rsidR="009D1738" w14:paraId="0F0D910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F8519A" w14:textId="77777777" w:rsidR="009D1738" w:rsidRDefault="00000000">
            <w:r>
              <w:t>Jessica Santore</w:t>
            </w:r>
          </w:p>
        </w:tc>
        <w:tc>
          <w:tcPr>
            <w:tcW w:w="0" w:type="auto"/>
            <w:tcBorders>
              <w:top w:val="outset" w:sz="6" w:space="0" w:color="auto"/>
              <w:left w:val="outset" w:sz="6" w:space="0" w:color="auto"/>
              <w:bottom w:val="outset" w:sz="6" w:space="0" w:color="auto"/>
              <w:right w:val="outset" w:sz="6" w:space="0" w:color="auto"/>
            </w:tcBorders>
            <w:vAlign w:val="center"/>
          </w:tcPr>
          <w:p w14:paraId="675F4C2C" w14:textId="77777777" w:rsidR="009D1738" w:rsidRDefault="00000000">
            <w: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4DFA1BE9" w14:textId="77777777" w:rsidR="009D1738" w:rsidRDefault="00000000">
            <w:r>
              <w:t>Nothing to disclose - 06/30/2022</w:t>
            </w:r>
          </w:p>
        </w:tc>
      </w:tr>
      <w:tr w:rsidR="009D1738" w14:paraId="5384D7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80F1FD" w14:textId="77777777" w:rsidR="009D1738" w:rsidRDefault="00000000">
            <w:r>
              <w:t>Annette Torres, BS</w:t>
            </w:r>
          </w:p>
        </w:tc>
        <w:tc>
          <w:tcPr>
            <w:tcW w:w="0" w:type="auto"/>
            <w:tcBorders>
              <w:top w:val="outset" w:sz="6" w:space="0" w:color="auto"/>
              <w:left w:val="outset" w:sz="6" w:space="0" w:color="auto"/>
              <w:bottom w:val="outset" w:sz="6" w:space="0" w:color="auto"/>
              <w:right w:val="outset" w:sz="6" w:space="0" w:color="auto"/>
            </w:tcBorders>
            <w:vAlign w:val="center"/>
          </w:tcPr>
          <w:p w14:paraId="6BD03ED7" w14:textId="77777777" w:rsidR="009D1738" w:rsidRDefault="00000000">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2F07A655" w14:textId="77777777" w:rsidR="009D1738" w:rsidRDefault="00000000">
            <w:r>
              <w:t>Nothing to disclose - 07/27/2022</w:t>
            </w:r>
          </w:p>
        </w:tc>
      </w:tr>
      <w:tr w:rsidR="009D1738" w14:paraId="06C85D7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58CEC3" w14:textId="77777777" w:rsidR="009D1738" w:rsidRDefault="00000000">
            <w:r>
              <w:t>Betty Hsiao, MD</w:t>
            </w:r>
          </w:p>
        </w:tc>
        <w:tc>
          <w:tcPr>
            <w:tcW w:w="0" w:type="auto"/>
            <w:tcBorders>
              <w:top w:val="outset" w:sz="6" w:space="0" w:color="auto"/>
              <w:left w:val="outset" w:sz="6" w:space="0" w:color="auto"/>
              <w:bottom w:val="outset" w:sz="6" w:space="0" w:color="auto"/>
              <w:right w:val="outset" w:sz="6" w:space="0" w:color="auto"/>
            </w:tcBorders>
            <w:vAlign w:val="center"/>
          </w:tcPr>
          <w:p w14:paraId="2C00D426" w14:textId="77777777" w:rsidR="009D1738" w:rsidRDefault="00000000">
            <w:r>
              <w:t>Co-Director</w:t>
            </w:r>
          </w:p>
        </w:tc>
        <w:tc>
          <w:tcPr>
            <w:tcW w:w="0" w:type="auto"/>
            <w:tcBorders>
              <w:top w:val="outset" w:sz="6" w:space="0" w:color="auto"/>
              <w:left w:val="outset" w:sz="6" w:space="0" w:color="auto"/>
              <w:bottom w:val="outset" w:sz="6" w:space="0" w:color="auto"/>
              <w:right w:val="outset" w:sz="6" w:space="0" w:color="auto"/>
            </w:tcBorders>
            <w:vAlign w:val="center"/>
          </w:tcPr>
          <w:p w14:paraId="36D79052" w14:textId="77777777" w:rsidR="009D1738" w:rsidRDefault="00000000">
            <w:r>
              <w:t>Nothing to disclose - 07/27/2022</w:t>
            </w:r>
          </w:p>
        </w:tc>
      </w:tr>
      <w:tr w:rsidR="009D1738" w14:paraId="032776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B5DF71" w14:textId="77777777" w:rsidR="009D1738" w:rsidRDefault="00000000">
            <w:r>
              <w:t>Richard Bucala, MD</w:t>
            </w:r>
          </w:p>
        </w:tc>
        <w:tc>
          <w:tcPr>
            <w:tcW w:w="0" w:type="auto"/>
            <w:tcBorders>
              <w:top w:val="outset" w:sz="6" w:space="0" w:color="auto"/>
              <w:left w:val="outset" w:sz="6" w:space="0" w:color="auto"/>
              <w:bottom w:val="outset" w:sz="6" w:space="0" w:color="auto"/>
              <w:right w:val="outset" w:sz="6" w:space="0" w:color="auto"/>
            </w:tcBorders>
            <w:vAlign w:val="center"/>
          </w:tcPr>
          <w:p w14:paraId="0F49C3A7" w14:textId="77777777" w:rsidR="009D1738" w:rsidRDefault="00000000">
            <w: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1BE389BA" w14:textId="77777777" w:rsidR="009D1738" w:rsidRDefault="00000000">
            <w:r>
              <w:t>Nothing to disclose - 10/12/2021</w:t>
            </w:r>
          </w:p>
        </w:tc>
      </w:tr>
      <w:tr w:rsidR="009D1738" w14:paraId="5DAD18D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09E0C0" w14:textId="77777777" w:rsidR="009D1738" w:rsidRDefault="00000000">
            <w:r>
              <w:t>Fotios Koumpouras, MD</w:t>
            </w:r>
          </w:p>
        </w:tc>
        <w:tc>
          <w:tcPr>
            <w:tcW w:w="0" w:type="auto"/>
            <w:tcBorders>
              <w:top w:val="outset" w:sz="6" w:space="0" w:color="auto"/>
              <w:left w:val="outset" w:sz="6" w:space="0" w:color="auto"/>
              <w:bottom w:val="outset" w:sz="6" w:space="0" w:color="auto"/>
              <w:right w:val="outset" w:sz="6" w:space="0" w:color="auto"/>
            </w:tcBorders>
            <w:vAlign w:val="center"/>
          </w:tcPr>
          <w:p w14:paraId="41FFF540" w14:textId="77777777" w:rsidR="009D1738" w:rsidRDefault="00000000">
            <w: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13707E61" w14:textId="77777777" w:rsidR="009D1738" w:rsidRDefault="00000000">
            <w:r>
              <w:t>Membership on Advisory Committees or Review Panels, Board Membership, etc.-Aurinia Pharmaceuticals|Speakers Bureau-Celgene (Relationship has ended)|Speakers Bureau-Aurinia Pharmaceuticals|Membership on Advisory Committees or Review Panels, Board Membership, etc.-Novartis (Relationship has ended)|Speakers Bureau-GlaxoSmithKline|Membership on Advisory Committees or Review Panels, Board Membership, etc.-AstraZeneca (Relationship has ended)|Speakers Bureau-AstraZeneca - 07/28/2022</w:t>
            </w:r>
          </w:p>
        </w:tc>
      </w:tr>
      <w:tr w:rsidR="009D1738" w14:paraId="346354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9DF200" w14:textId="77777777" w:rsidR="009D1738" w:rsidRDefault="00000000">
            <w:r>
              <w:t>Andrew Wang, MD, PhD</w:t>
            </w:r>
          </w:p>
        </w:tc>
        <w:tc>
          <w:tcPr>
            <w:tcW w:w="0" w:type="auto"/>
            <w:tcBorders>
              <w:top w:val="outset" w:sz="6" w:space="0" w:color="auto"/>
              <w:left w:val="outset" w:sz="6" w:space="0" w:color="auto"/>
              <w:bottom w:val="outset" w:sz="6" w:space="0" w:color="auto"/>
              <w:right w:val="outset" w:sz="6" w:space="0" w:color="auto"/>
            </w:tcBorders>
            <w:vAlign w:val="center"/>
          </w:tcPr>
          <w:p w14:paraId="4A59CF4E" w14:textId="77777777" w:rsidR="009D1738" w:rsidRDefault="00000000">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272ACFD" w14:textId="77777777" w:rsidR="009D1738" w:rsidRDefault="00000000">
            <w:r>
              <w:t>Consulting Fee-NGM Biopharmaceuticals|Consulting Fee-Seranova Bio - 03/23/2022</w:t>
            </w:r>
          </w:p>
        </w:tc>
      </w:tr>
    </w:tbl>
    <w:p w14:paraId="61BEF5F9" w14:textId="1D3996C6" w:rsidR="00BD0EA5" w:rsidRPr="00BD0EA5" w:rsidRDefault="00BD0EA5">
      <w:pPr>
        <w:spacing w:after="280" w:afterAutospacing="1"/>
        <w:rPr>
          <w:rFonts w:ascii="Arial" w:hAnsi="Arial" w:cs="Arial"/>
          <w:sz w:val="21"/>
          <w:szCs w:val="21"/>
          <w:shd w:val="clear" w:color="auto" w:fill="FFFFFF"/>
        </w:rPr>
        <w:sectPr w:rsidR="00BD0EA5" w:rsidRPr="00BD0EA5">
          <w:headerReference w:type="default" r:id="rId7"/>
          <w:pgSz w:w="12240" w:h="15840"/>
          <w:pgMar w:top="1440" w:right="1440" w:bottom="1440" w:left="1440" w:header="720" w:footer="720" w:gutter="0"/>
          <w:cols w:space="720"/>
          <w:docGrid w:linePitch="360"/>
        </w:sectPr>
      </w:pPr>
    </w:p>
    <w:tbl>
      <w:tblPr>
        <w:tblStyle w:val="ListTable5Dark-Accent31"/>
        <w:tblW w:w="9320" w:type="dxa"/>
        <w:tblLook w:val="04A0" w:firstRow="1" w:lastRow="0" w:firstColumn="1" w:lastColumn="0" w:noHBand="0" w:noVBand="1"/>
      </w:tblPr>
      <w:tblGrid>
        <w:gridCol w:w="9320"/>
      </w:tblGrid>
      <w:tr w:rsidR="009D1738" w14:paraId="48D10BCC" w14:textId="77777777" w:rsidTr="009D1738">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Pr>
          <w:p w14:paraId="75EF296B" w14:textId="77777777" w:rsidR="008F5709" w:rsidRPr="008438EA" w:rsidRDefault="00000000"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7314F783" w14:textId="77777777" w:rsidR="008F5709" w:rsidRDefault="00000000" w:rsidP="008438EA">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Understand</w:t>
            </w:r>
            <w:r w:rsidRPr="008438EA">
              <w:rPr>
                <w:rFonts w:ascii="Arial" w:eastAsia="Cambria" w:hAnsi="Arial" w:cs="Arial"/>
                <w:noProof/>
                <w:color w:val="FFFFFE" w:themeColor="background2"/>
              </w:rPr>
              <w:t xml:space="preserve"> the difference between a diagnosis and diagnostic criteria</w:t>
            </w:r>
          </w:p>
          <w:p w14:paraId="0668505C" w14:textId="77777777" w:rsidR="009D1738" w:rsidRPr="008438EA" w:rsidRDefault="00000000"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2 Understand the concept of disease endotype</w:t>
            </w:r>
          </w:p>
          <w:p w14:paraId="6ADF7EF5" w14:textId="77777777" w:rsidR="008F5709" w:rsidRDefault="00000000"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3 Understand an approach to managing “undiagnosable” diseases</w:t>
            </w:r>
          </w:p>
          <w:p w14:paraId="1B167D49" w14:textId="77777777" w:rsidR="008438EA" w:rsidRPr="008438EA" w:rsidRDefault="00000000" w:rsidP="008438EA">
            <w:pPr>
              <w:rPr>
                <w:rFonts w:ascii="Arial" w:eastAsia="Cambria" w:hAnsi="Arial"/>
                <w:color w:val="FFFFFE" w:themeColor="background2"/>
              </w:rPr>
            </w:pPr>
          </w:p>
        </w:tc>
      </w:tr>
      <w:tr w:rsidR="009D1738" w14:paraId="216A65D7" w14:textId="77777777" w:rsidTr="009D1738">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16BE6661" w14:textId="77777777" w:rsidR="008F5709" w:rsidRPr="008438EA" w:rsidRDefault="00000000"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lastRenderedPageBreak/>
              <w:t xml:space="preserve">Target Audience: </w:t>
            </w:r>
            <w:r w:rsidRPr="008438EA">
              <w:rPr>
                <w:rFonts w:ascii="Arial" w:eastAsia="Cambria" w:hAnsi="Arial" w:cs="Arial"/>
                <w:b w:val="0"/>
                <w:bCs w:val="0"/>
                <w:noProof/>
                <w:color w:val="FFFFFE" w:themeColor="background2"/>
              </w:rPr>
              <w:t>Rheumatology</w:t>
            </w:r>
          </w:p>
        </w:tc>
      </w:tr>
    </w:tbl>
    <w:p w14:paraId="09D1B157" w14:textId="77777777" w:rsidR="00CC0ABE" w:rsidRDefault="00000000" w:rsidP="00C86889">
      <w:pPr>
        <w:spacing w:after="200"/>
        <w:rPr>
          <w:rFonts w:ascii="Arial" w:eastAsia="Cambria" w:hAnsi="Arial" w:cs="Arial"/>
          <w:i/>
          <w:sz w:val="16"/>
          <w:szCs w:val="16"/>
        </w:rPr>
      </w:pPr>
    </w:p>
    <w:p w14:paraId="4C8D0DFA" w14:textId="77777777" w:rsidR="00C86889" w:rsidRPr="00512139" w:rsidRDefault="00000000"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5A5E1293" w14:textId="77777777" w:rsidR="00C86889" w:rsidRDefault="00000000" w:rsidP="00C86889">
      <w:pPr>
        <w:spacing w:after="200"/>
        <w:rPr>
          <w:rFonts w:ascii="Arial" w:eastAsia="Cambria" w:hAnsi="Arial" w:cs="Arial"/>
          <w:i/>
          <w:sz w:val="16"/>
          <w:szCs w:val="16"/>
        </w:rPr>
      </w:pPr>
      <w:r w:rsidRPr="00512139">
        <w:rPr>
          <w:rFonts w:ascii="Arial" w:eastAsia="Cambria" w:hAnsi="Arial" w:cs="Arial"/>
          <w:i/>
          <w:sz w:val="16"/>
          <w:szCs w:val="16"/>
        </w:rPr>
        <w:t>Designation Statement: Yale School of Medicine designates this</w:t>
      </w:r>
      <w:r w:rsidRPr="00512139">
        <w:rPr>
          <w:rFonts w:ascii="Arial" w:eastAsia="Cambria" w:hAnsi="Arial" w:cs="Arial"/>
          <w:i/>
          <w:sz w:val="16"/>
          <w:szCs w:val="16"/>
        </w:rPr>
        <w:t xml:space="preserve"> </w:t>
      </w:r>
      <w:r>
        <w:rPr>
          <w:rFonts w:ascii="Arial" w:eastAsia="Cambria" w:hAnsi="Arial" w:cs="Arial"/>
          <w:i/>
          <w:noProof/>
          <w:sz w:val="16"/>
          <w:szCs w:val="16"/>
        </w:rPr>
        <w:t>Live</w:t>
      </w:r>
      <w:r>
        <w:rPr>
          <w:rFonts w:ascii="Arial" w:eastAsia="Cambria" w:hAnsi="Arial" w:cs="Arial"/>
          <w:i/>
          <w:noProof/>
          <w:sz w:val="16"/>
          <w:szCs w:val="16"/>
        </w:rPr>
        <w:t xml:space="preser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65FB7AAD" w14:textId="77777777" w:rsidR="008C6879" w:rsidRPr="008438EA" w:rsidRDefault="00000000" w:rsidP="00C86889">
      <w:pPr>
        <w:spacing w:after="200"/>
        <w:rPr>
          <w:rFonts w:ascii="Arial" w:eastAsia="Cambria" w:hAnsi="Arial" w:cs="Arial"/>
          <w:i/>
          <w:sz w:val="14"/>
          <w:szCs w:val="14"/>
        </w:rPr>
      </w:pPr>
      <w:bookmarkStart w:id="1" w:name="_Hlk83812249"/>
      <w:r w:rsidRPr="008438EA">
        <w:rPr>
          <w:rFonts w:ascii="Arial" w:eastAsia="Cambria" w:hAnsi="Arial" w:cs="Arial"/>
          <w:i/>
          <w:sz w:val="14"/>
          <w:szCs w:val="14"/>
        </w:rPr>
        <w:t>Mitigation of Financial Relationships Statement:</w:t>
      </w:r>
      <w:r w:rsidRPr="008438EA">
        <w:rPr>
          <w:sz w:val="18"/>
          <w:szCs w:val="18"/>
        </w:rPr>
        <w:t xml:space="preserve"> </w:t>
      </w:r>
      <w:r w:rsidRPr="008438EA">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7B9E208D" w14:textId="77777777" w:rsidR="00222E80" w:rsidRPr="00CC0ABE" w:rsidRDefault="00000000"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annette.torres@yale.edu</w:t>
      </w:r>
      <w:r w:rsidRPr="00CC0ABE">
        <w:rPr>
          <w:rFonts w:ascii="Arial" w:eastAsia="Cambria" w:hAnsi="Arial" w:cs="Arial"/>
          <w:b/>
          <w:bCs/>
          <w:sz w:val="22"/>
          <w:szCs w:val="22"/>
        </w:rPr>
        <w:t>.</w:t>
      </w:r>
    </w:p>
    <w:p w14:paraId="7C53BC07" w14:textId="77777777" w:rsidR="00B85050" w:rsidRDefault="00000000"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43AA" w14:textId="77777777" w:rsidR="00096BED" w:rsidRDefault="00096BED">
      <w:r>
        <w:separator/>
      </w:r>
    </w:p>
  </w:endnote>
  <w:endnote w:type="continuationSeparator" w:id="0">
    <w:p w14:paraId="5671CB03" w14:textId="77777777" w:rsidR="00096BED" w:rsidRDefault="0009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75B7" w14:textId="77777777" w:rsidR="00096BED" w:rsidRDefault="00096BED">
      <w:r>
        <w:separator/>
      </w:r>
    </w:p>
  </w:footnote>
  <w:footnote w:type="continuationSeparator" w:id="0">
    <w:p w14:paraId="51675A0B" w14:textId="77777777" w:rsidR="00096BED" w:rsidRDefault="0009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F65" w14:textId="77777777" w:rsidR="00525504" w:rsidRDefault="00000000">
    <w:pPr>
      <w:pStyle w:val="Header"/>
    </w:pPr>
    <w:r>
      <w:rPr>
        <w:noProof/>
      </w:rPr>
      <w:drawing>
        <wp:anchor distT="0" distB="0" distL="114300" distR="114300" simplePos="0" relativeHeight="251658240" behindDoc="1" locked="1" layoutInCell="1" allowOverlap="1" wp14:anchorId="56803A01" wp14:editId="103E2C5B">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38"/>
    <w:rsid w:val="00096BED"/>
    <w:rsid w:val="009D1738"/>
    <w:rsid w:val="00BD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B978B"/>
  <w15:docId w15:val="{388FD835-F595-474F-BADC-629BC54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Torres, Annette</cp:lastModifiedBy>
  <cp:revision>4</cp:revision>
  <dcterms:created xsi:type="dcterms:W3CDTF">2022-07-19T20:30:00Z</dcterms:created>
  <dcterms:modified xsi:type="dcterms:W3CDTF">2022-09-06T19:17:00Z</dcterms:modified>
</cp:coreProperties>
</file>