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Pr="00F570A5" w:rsidRDefault="00F75FDE" w:rsidP="00F570A5">
      <w:pPr>
        <w:jc w:val="center"/>
        <w:rPr>
          <w:b/>
          <w:bCs/>
          <w:color w:val="FF0000"/>
          <w:sz w:val="32"/>
          <w:szCs w:val="32"/>
        </w:rPr>
      </w:pPr>
    </w:p>
    <w:p w14:paraId="54A3E6EA" w14:textId="4578C682" w:rsidR="00C456E2" w:rsidRPr="00F570A5" w:rsidRDefault="00A723B1" w:rsidP="00F570A5">
      <w:pPr>
        <w:jc w:val="center"/>
        <w:rPr>
          <w:b/>
          <w:bCs/>
          <w:color w:val="FF0000"/>
          <w:sz w:val="32"/>
          <w:szCs w:val="32"/>
        </w:rPr>
      </w:pPr>
      <w:r w:rsidRPr="00F570A5">
        <w:rPr>
          <w:b/>
          <w:bCs/>
          <w:color w:val="FF0000"/>
          <w:sz w:val="32"/>
          <w:szCs w:val="32"/>
        </w:rPr>
        <w:t>"</w:t>
      </w:r>
      <w:bookmarkStart w:id="0" w:name="_GoBack"/>
      <w:bookmarkEnd w:id="0"/>
      <w:r w:rsidR="00F570A5" w:rsidRPr="00F570A5">
        <w:rPr>
          <w:b/>
          <w:bCs/>
          <w:color w:val="FF0000"/>
          <w:sz w:val="32"/>
          <w:szCs w:val="32"/>
        </w:rPr>
        <w:t>Genetics in Child Psychiatry: What’s New, What’s Next?</w:t>
      </w:r>
      <w:r w:rsidRPr="00F570A5">
        <w:rPr>
          <w:b/>
          <w:bCs/>
          <w:color w:val="FF0000"/>
          <w:sz w:val="32"/>
          <w:szCs w:val="32"/>
        </w:rPr>
        <w:t>"</w:t>
      </w:r>
    </w:p>
    <w:p w14:paraId="2EDE7B2C" w14:textId="46CF8A47" w:rsidR="00C56D8A" w:rsidRPr="00004C73" w:rsidRDefault="00F570A5" w:rsidP="00C56D8A">
      <w:pPr>
        <w:jc w:val="center"/>
        <w:rPr>
          <w:b/>
          <w:sz w:val="32"/>
          <w:szCs w:val="40"/>
        </w:rPr>
      </w:pPr>
      <w:r>
        <w:rPr>
          <w:b/>
          <w:sz w:val="32"/>
          <w:szCs w:val="40"/>
        </w:rPr>
        <w:t>Thomas Fernandez, MD</w:t>
      </w:r>
    </w:p>
    <w:p w14:paraId="13AE5B4D" w14:textId="20B7E15B" w:rsidR="00C84B3A" w:rsidRPr="00F570A5" w:rsidRDefault="00004C73" w:rsidP="00C56D8A">
      <w:pPr>
        <w:jc w:val="center"/>
        <w:rPr>
          <w:sz w:val="28"/>
          <w:szCs w:val="28"/>
        </w:rPr>
      </w:pPr>
      <w:r w:rsidRPr="00F570A5">
        <w:rPr>
          <w:sz w:val="28"/>
          <w:szCs w:val="28"/>
        </w:rPr>
        <w:t>A</w:t>
      </w:r>
      <w:r w:rsidR="00F570A5" w:rsidRPr="00F570A5">
        <w:rPr>
          <w:sz w:val="28"/>
          <w:szCs w:val="28"/>
        </w:rPr>
        <w:t xml:space="preserve">ssociate </w:t>
      </w:r>
      <w:r w:rsidRPr="00F570A5">
        <w:rPr>
          <w:sz w:val="28"/>
          <w:szCs w:val="28"/>
        </w:rPr>
        <w:t>Professor</w:t>
      </w:r>
    </w:p>
    <w:p w14:paraId="494D30C2" w14:textId="5BA41946" w:rsidR="00F570A5" w:rsidRPr="00F570A5" w:rsidRDefault="00F570A5" w:rsidP="00C56D8A">
      <w:pPr>
        <w:jc w:val="center"/>
        <w:rPr>
          <w:sz w:val="28"/>
          <w:szCs w:val="28"/>
        </w:rPr>
      </w:pPr>
      <w:r w:rsidRPr="00F570A5">
        <w:rPr>
          <w:sz w:val="28"/>
          <w:szCs w:val="28"/>
        </w:rPr>
        <w:t>Child Study Center and Department of Psychiatry</w:t>
      </w:r>
    </w:p>
    <w:p w14:paraId="22F14C00" w14:textId="704DBF2F" w:rsidR="00C56D8A" w:rsidRPr="00C84B3A" w:rsidRDefault="004B7394" w:rsidP="00C56D8A">
      <w:pPr>
        <w:spacing w:before="240"/>
        <w:jc w:val="center"/>
        <w:rPr>
          <w:b/>
        </w:rPr>
      </w:pPr>
      <w:r w:rsidRPr="00C84B3A">
        <w:rPr>
          <w:b/>
        </w:rPr>
        <w:t xml:space="preserve">Date: </w:t>
      </w:r>
      <w:r w:rsidR="00004C73">
        <w:rPr>
          <w:b/>
        </w:rPr>
        <w:t xml:space="preserve">March </w:t>
      </w:r>
      <w:r w:rsidR="00F570A5">
        <w:rPr>
          <w:b/>
        </w:rPr>
        <w:t>16</w:t>
      </w:r>
      <w:r w:rsidR="00004C73">
        <w:rPr>
          <w:b/>
        </w:rPr>
        <w:t>,</w:t>
      </w:r>
      <w:r w:rsidR="008738C9">
        <w:rPr>
          <w:b/>
        </w:rPr>
        <w:t xml:space="preserve"> 202</w:t>
      </w:r>
      <w:r w:rsidR="00F570A5">
        <w:rPr>
          <w:b/>
        </w:rPr>
        <w:t>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345F4D"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20F00E7E" w14:textId="77777777" w:rsidR="00F570A5" w:rsidRDefault="00F570A5" w:rsidP="00DD2BF3">
      <w:pPr>
        <w:rPr>
          <w:b/>
          <w:sz w:val="20"/>
          <w:szCs w:val="20"/>
          <w:u w:val="single"/>
        </w:rPr>
      </w:pPr>
    </w:p>
    <w:p w14:paraId="6B40B8F7" w14:textId="4EF826A9"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00B5095D" w14:textId="77777777" w:rsidR="00004C73" w:rsidRDefault="00004C73" w:rsidP="00004C73">
      <w:pPr>
        <w:pStyle w:val="ListParagraph"/>
        <w:shd w:val="clear" w:color="auto" w:fill="FFFFFF"/>
        <w:rPr>
          <w:b/>
          <w:bCs/>
          <w:color w:val="201F1E"/>
          <w:sz w:val="18"/>
          <w:szCs w:val="18"/>
        </w:rPr>
      </w:pPr>
    </w:p>
    <w:p w14:paraId="39DF3680" w14:textId="77777777" w:rsidR="00F570A5" w:rsidRPr="00F570A5" w:rsidRDefault="00F570A5" w:rsidP="00F570A5">
      <w:pPr>
        <w:pStyle w:val="ListParagraph"/>
        <w:numPr>
          <w:ilvl w:val="0"/>
          <w:numId w:val="4"/>
        </w:numPr>
        <w:spacing w:after="160" w:line="259" w:lineRule="auto"/>
        <w:rPr>
          <w:sz w:val="18"/>
          <w:szCs w:val="18"/>
        </w:rPr>
      </w:pPr>
      <w:r w:rsidRPr="00F570A5">
        <w:rPr>
          <w:sz w:val="18"/>
          <w:szCs w:val="18"/>
        </w:rPr>
        <w:t>Learn what genetic research is teaching us about the biology of childhood psychiatric disorders.</w:t>
      </w:r>
    </w:p>
    <w:p w14:paraId="433A9E52" w14:textId="77777777" w:rsidR="00F570A5" w:rsidRPr="00F570A5" w:rsidRDefault="00F570A5" w:rsidP="00F570A5">
      <w:pPr>
        <w:pStyle w:val="ListParagraph"/>
        <w:numPr>
          <w:ilvl w:val="0"/>
          <w:numId w:val="4"/>
        </w:numPr>
        <w:spacing w:after="160" w:line="259" w:lineRule="auto"/>
        <w:rPr>
          <w:sz w:val="18"/>
          <w:szCs w:val="18"/>
        </w:rPr>
      </w:pPr>
      <w:r w:rsidRPr="00F570A5">
        <w:rPr>
          <w:sz w:val="18"/>
          <w:szCs w:val="18"/>
        </w:rPr>
        <w:t>Learn how genetic testing is making its way directly to our patients and how it may be used in the clinic.</w:t>
      </w:r>
    </w:p>
    <w:p w14:paraId="3AD8971E" w14:textId="77777777" w:rsidR="00F570A5" w:rsidRPr="00F570A5" w:rsidRDefault="00F570A5" w:rsidP="00F570A5">
      <w:pPr>
        <w:pStyle w:val="ListParagraph"/>
        <w:numPr>
          <w:ilvl w:val="0"/>
          <w:numId w:val="4"/>
        </w:numPr>
        <w:spacing w:after="160" w:line="259" w:lineRule="auto"/>
        <w:rPr>
          <w:sz w:val="18"/>
          <w:szCs w:val="18"/>
        </w:rPr>
      </w:pPr>
      <w:r w:rsidRPr="00F570A5">
        <w:rPr>
          <w:sz w:val="18"/>
          <w:szCs w:val="18"/>
        </w:rPr>
        <w:t>Learn about next wave of neurogenetic studies and how this could transform understanding and practice.</w:t>
      </w: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4D1127AC" w14:textId="77777777" w:rsidR="00F570A5" w:rsidRPr="00F570A5" w:rsidRDefault="00F570A5" w:rsidP="00F570A5">
      <w:pPr>
        <w:pStyle w:val="ListParagraph"/>
        <w:ind w:left="0"/>
        <w:rPr>
          <w:sz w:val="18"/>
          <w:szCs w:val="18"/>
        </w:rPr>
      </w:pPr>
      <w:r w:rsidRPr="00F570A5">
        <w:rPr>
          <w:sz w:val="18"/>
          <w:szCs w:val="18"/>
        </w:rPr>
        <w:t>Genetic research and testing are becoming increasingly relevant for understanding the challenges faced by children and families we see in our clinics. By learning about the genetic findings and ongoing projects in our department and elsewhere, the audience will have a better</w:t>
      </w:r>
      <w:r>
        <w:t xml:space="preserve"> </w:t>
      </w:r>
      <w:r w:rsidRPr="00F570A5">
        <w:rPr>
          <w:sz w:val="18"/>
          <w:szCs w:val="18"/>
        </w:rPr>
        <w:t>understanding of concepts that can be applied to future research and clinical practice.</w:t>
      </w:r>
    </w:p>
    <w:p w14:paraId="6A7A624A" w14:textId="77777777" w:rsidR="00C456E2" w:rsidRPr="00F570A5" w:rsidRDefault="00C456E2" w:rsidP="00DD2BF3">
      <w:pPr>
        <w:rPr>
          <w:b/>
          <w:sz w:val="14"/>
          <w:szCs w:val="14"/>
          <w:u w:val="single"/>
        </w:rPr>
      </w:pPr>
    </w:p>
    <w:p w14:paraId="7419ACBD" w14:textId="77777777" w:rsidR="00C456E2" w:rsidRDefault="00C456E2" w:rsidP="00DD2BF3">
      <w:pPr>
        <w:rPr>
          <w:b/>
          <w:sz w:val="20"/>
          <w:szCs w:val="20"/>
          <w:u w:val="single"/>
        </w:rPr>
      </w:pP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0B98D451" w14:textId="77777777" w:rsidR="008738C9" w:rsidRDefault="008738C9" w:rsidP="00DD2BF3">
      <w:pPr>
        <w:rPr>
          <w:b/>
          <w:sz w:val="20"/>
          <w:szCs w:val="20"/>
          <w:u w:val="single"/>
        </w:rPr>
      </w:pPr>
    </w:p>
    <w:p w14:paraId="1033E090" w14:textId="77777777" w:rsidR="00F570A5" w:rsidRDefault="00F570A5" w:rsidP="00DD2BF3">
      <w:pPr>
        <w:rPr>
          <w:b/>
          <w:sz w:val="20"/>
          <w:szCs w:val="20"/>
          <w:u w:val="single"/>
        </w:rPr>
      </w:pPr>
    </w:p>
    <w:p w14:paraId="320A44A4" w14:textId="77777777" w:rsidR="00F570A5" w:rsidRDefault="00F570A5" w:rsidP="00DD2BF3">
      <w:pPr>
        <w:rPr>
          <w:b/>
          <w:sz w:val="20"/>
          <w:szCs w:val="20"/>
          <w:u w:val="single"/>
        </w:rPr>
      </w:pPr>
    </w:p>
    <w:p w14:paraId="4B6D9A6E" w14:textId="313AA64A"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38BB5DEE" w:rsidR="00DD2BF3" w:rsidRPr="00C84B3A" w:rsidRDefault="00F570A5" w:rsidP="00DD2BF3">
      <w:pPr>
        <w:rPr>
          <w:sz w:val="20"/>
          <w:szCs w:val="20"/>
        </w:rPr>
      </w:pPr>
      <w:r>
        <w:rPr>
          <w:sz w:val="20"/>
          <w:szCs w:val="20"/>
        </w:rPr>
        <w:t>Thomas Fernandez</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C3062"/>
    <w:multiLevelType w:val="hybridMultilevel"/>
    <w:tmpl w:val="A300E55E"/>
    <w:lvl w:ilvl="0" w:tplc="A1B08B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345F4D"/>
    <w:rsid w:val="00454473"/>
    <w:rsid w:val="00456098"/>
    <w:rsid w:val="004B7394"/>
    <w:rsid w:val="006B7272"/>
    <w:rsid w:val="007A7132"/>
    <w:rsid w:val="008738C9"/>
    <w:rsid w:val="00A46992"/>
    <w:rsid w:val="00A723B1"/>
    <w:rsid w:val="00C11A1C"/>
    <w:rsid w:val="00C456E2"/>
    <w:rsid w:val="00C45D58"/>
    <w:rsid w:val="00C56D8A"/>
    <w:rsid w:val="00C84B3A"/>
    <w:rsid w:val="00DD2BF3"/>
    <w:rsid w:val="00DF5E20"/>
    <w:rsid w:val="00F13383"/>
    <w:rsid w:val="00F570A5"/>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CD47E-5095-4785-98B2-6D21DC91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2021-03-03T19:56:00Z</dcterms:created>
  <dcterms:modified xsi:type="dcterms:W3CDTF">2021-03-03T19:57:00Z</dcterms:modified>
</cp:coreProperties>
</file>