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CD51" w14:textId="77777777" w:rsidR="000A4A5D" w:rsidRDefault="00926722" w:rsidP="00654C31">
      <w:pPr>
        <w:tabs>
          <w:tab w:val="right" w:pos="9360"/>
        </w:tabs>
      </w:pPr>
      <w:r>
        <w:tab/>
      </w:r>
    </w:p>
    <w:p w14:paraId="0F3E8135" w14:textId="77777777" w:rsidR="000A4A5D" w:rsidRDefault="00926722"/>
    <w:p w14:paraId="6BEF8D7E" w14:textId="77777777" w:rsidR="000A4A5D" w:rsidRPr="006C29A5" w:rsidRDefault="00926722" w:rsidP="00512139">
      <w:pPr>
        <w:pStyle w:val="granted"/>
        <w:rPr>
          <w:rFonts w:ascii="Arial" w:hAnsi="Arial" w:cs="Arial"/>
          <w:b/>
          <w:bCs/>
          <w:color w:val="08B5E2"/>
          <w:sz w:val="20"/>
          <w:szCs w:val="20"/>
        </w:rPr>
      </w:pPr>
      <w:r w:rsidRPr="006C29A5">
        <w:rPr>
          <w:rFonts w:ascii="Arial" w:hAnsi="Arial" w:cs="Arial"/>
          <w:b/>
          <w:bCs/>
          <w:color w:val="08B5E2"/>
          <w:sz w:val="20"/>
          <w:szCs w:val="20"/>
        </w:rPr>
        <w:t xml:space="preserve">Presented by: </w:t>
      </w:r>
    </w:p>
    <w:p w14:paraId="6014004D" w14:textId="77777777" w:rsidR="000D2BA9" w:rsidRDefault="00926722" w:rsidP="00743043">
      <w:pPr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</w:p>
    <w:p w14:paraId="7A5C689B" w14:textId="77777777" w:rsidR="00164471" w:rsidRPr="000D2BA9" w:rsidRDefault="00926722" w:rsidP="00512139">
      <w:pPr>
        <w:spacing w:after="20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  <w:r w:rsidRPr="000D2BA9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Embracing Feedback: How to Create a Culture of Psychological Safety to Promote Learning and Growth</w:t>
      </w:r>
    </w:p>
    <w:p w14:paraId="4625EBF5" w14:textId="77777777" w:rsidR="00C86889" w:rsidRPr="00CC0ABE" w:rsidRDefault="00926722" w:rsidP="00512139">
      <w:pPr>
        <w:spacing w:after="200"/>
        <w:jc w:val="center"/>
        <w:rPr>
          <w:rFonts w:ascii="Arial" w:eastAsia="Cambria" w:hAnsi="Arial"/>
          <w:noProof/>
          <w:sz w:val="22"/>
          <w:szCs w:val="22"/>
        </w:rPr>
      </w:pPr>
      <w:bookmarkStart w:id="0" w:name="_Hlk76632197"/>
      <w:r w:rsidRPr="00CC0ABE">
        <w:rPr>
          <w:rFonts w:ascii="Arial" w:eastAsia="Cambria" w:hAnsi="Arial"/>
          <w:noProof/>
          <w:sz w:val="22"/>
          <w:szCs w:val="22"/>
        </w:rPr>
        <w:t>6/1/2022 12:00:00 PM</w:t>
      </w:r>
      <w:bookmarkEnd w:id="0"/>
      <w:r w:rsidRPr="00CC0ABE">
        <w:rPr>
          <w:rFonts w:ascii="Symbol" w:eastAsia="Cambria" w:hAnsi="Symbol"/>
          <w:noProof/>
          <w:sz w:val="22"/>
          <w:szCs w:val="22"/>
        </w:rPr>
        <w:sym w:font="Symbol" w:char="F02D"/>
      </w:r>
      <w:r w:rsidRPr="00CC0ABE">
        <w:rPr>
          <w:rFonts w:ascii="Arial" w:eastAsia="Cambria" w:hAnsi="Arial"/>
          <w:noProof/>
          <w:sz w:val="22"/>
          <w:szCs w:val="22"/>
        </w:rPr>
        <w:t xml:space="preserve">6/1/2022 1:00:00 PM </w:t>
      </w:r>
      <w:r w:rsidRPr="00CC0ABE">
        <w:rPr>
          <w:rFonts w:ascii="Arial" w:eastAsia="Cambria" w:hAnsi="Arial"/>
          <w:noProof/>
          <w:color w:val="0078BF"/>
          <w:sz w:val="22"/>
          <w:szCs w:val="22"/>
        </w:rPr>
        <w:t>|</w:t>
      </w:r>
      <w:r w:rsidRPr="00CC0ABE">
        <w:rPr>
          <w:rFonts w:ascii="Arial" w:eastAsia="Cambria" w:hAnsi="Arial"/>
          <w:noProof/>
          <w:sz w:val="22"/>
          <w:szCs w:val="22"/>
        </w:rPr>
        <w:t xml:space="preserve"> Medical Campus</w:t>
      </w:r>
    </w:p>
    <w:p w14:paraId="37D9F457" w14:textId="77777777" w:rsidR="00C86889" w:rsidRPr="00AC4DCE" w:rsidRDefault="00926722" w:rsidP="00512139">
      <w:pPr>
        <w:spacing w:after="200"/>
        <w:jc w:val="center"/>
        <w:rPr>
          <w:rFonts w:ascii="Arial" w:eastAsia="Cambria" w:hAnsi="Arial" w:cs="Arial"/>
          <w:noProof/>
          <w:color w:val="000000"/>
          <w:sz w:val="22"/>
          <w:szCs w:val="22"/>
        </w:rPr>
      </w:pPr>
      <w:r>
        <w:t xml:space="preserve">The Pediatric Subspecialty Lecture series is a </w:t>
      </w:r>
      <w:r>
        <w:t xml:space="preserve">multidisciplinary series. The series includes </w:t>
      </w:r>
      <w:proofErr w:type="gramStart"/>
      <w:r>
        <w:t>one hour</w:t>
      </w:r>
      <w:proofErr w:type="gramEnd"/>
      <w:r>
        <w:t xml:space="preserve"> lectures and case presentations that update our pediatric subspecialist physicians, learners and other healthcare professionals on cutting edge biomedical sciences, clinical and educational practices, </w:t>
      </w:r>
      <w:r>
        <w:t>presenting this information in an understandable and clinically useful format, that informs the health care delivery and improves outcomes of children and adolescents. Pediatric Subspecialty lecture topics are varied.</w:t>
      </w:r>
    </w:p>
    <w:p w14:paraId="3F7F7B62" w14:textId="77777777" w:rsidR="00527E2C" w:rsidRDefault="00926722" w:rsidP="00527E2C">
      <w:pPr>
        <w:spacing w:after="200"/>
        <w:jc w:val="center"/>
        <w:rPr>
          <w:rFonts w:ascii="Arial" w:eastAsia="Cambria" w:hAnsi="Arial" w:cs="Arial"/>
          <w:b/>
          <w:bCs/>
          <w:noProof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>
        <w:rPr>
          <w:rFonts w:ascii="Arial" w:eastAsia="Cambria" w:hAnsi="Arial" w:cs="Arial"/>
          <w:b/>
          <w:bCs/>
          <w:iCs/>
          <w:noProof/>
          <w:sz w:val="22"/>
          <w:szCs w:val="22"/>
        </w:rPr>
        <w:t>2972</w:t>
      </w:r>
      <w:r>
        <w:rPr>
          <w:rFonts w:ascii="Arial" w:eastAsia="Cambria" w:hAnsi="Arial" w:cs="Arial"/>
          <w:b/>
          <w:bCs/>
          <w:iCs/>
          <w:noProof/>
          <w:sz w:val="22"/>
          <w:szCs w:val="22"/>
        </w:rPr>
        <w:t>8</w:t>
      </w:r>
    </w:p>
    <w:p w14:paraId="18AD26E9" w14:textId="77777777" w:rsidR="00527E2C" w:rsidRPr="009C1A30" w:rsidRDefault="00926722" w:rsidP="00527E2C">
      <w:pPr>
        <w:spacing w:after="200"/>
        <w:jc w:val="center"/>
        <w:rPr>
          <w:rFonts w:ascii="Arial" w:eastAsia="Cambria" w:hAnsi="Arial" w:cs="Arial"/>
          <w:b/>
          <w:bCs/>
          <w:noProof/>
          <w:sz w:val="22"/>
          <w:szCs w:val="22"/>
        </w:rPr>
      </w:pPr>
    </w:p>
    <w:p w14:paraId="45BA76FC" w14:textId="77777777" w:rsidR="00527E2C" w:rsidRPr="009C1A30" w:rsidRDefault="00926722" w:rsidP="00527E2C">
      <w:pPr>
        <w:spacing w:after="200"/>
        <w:rPr>
          <w:rFonts w:ascii="Arial" w:eastAsia="Cambria" w:hAnsi="Arial" w:cs="Arial"/>
          <w:noProof/>
          <w:sz w:val="22"/>
          <w:szCs w:val="22"/>
        </w:rPr>
      </w:pPr>
      <w:r w:rsidRPr="00164471">
        <w:rPr>
          <w:rFonts w:ascii="Arial" w:eastAsia="Cambria" w:hAnsi="Arial" w:cs="Arial"/>
          <w:b/>
          <w:bCs/>
          <w:sz w:val="22"/>
          <w:szCs w:val="22"/>
        </w:rPr>
        <w:t xml:space="preserve">Faculty: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569E1" w14:paraId="73094E5B" w14:textId="77777777">
        <w:trPr>
          <w:tblCellSpacing w:w="15" w:type="dxa"/>
        </w:trPr>
        <w:tc>
          <w:tcPr>
            <w:tcW w:w="0" w:type="auto"/>
            <w:vAlign w:val="center"/>
          </w:tcPr>
          <w:p w14:paraId="411D1FC9" w14:textId="77777777" w:rsidR="00E569E1" w:rsidRDefault="0022262E">
            <w:r>
              <w:t>Dana W Dunne, MD, MHS</w:t>
            </w:r>
          </w:p>
          <w:p w14:paraId="621BA38A" w14:textId="77777777" w:rsidR="0022262E" w:rsidRDefault="0022262E" w:rsidP="0022262E">
            <w:r>
              <w:t>Associate Professor of Medicine (Infectious Disease)</w:t>
            </w:r>
          </w:p>
          <w:p w14:paraId="595DC9E9" w14:textId="77777777" w:rsidR="0022262E" w:rsidRDefault="0022262E" w:rsidP="0022262E">
            <w:r>
              <w:t>Associate Chair for Education and Academic Affairs</w:t>
            </w:r>
          </w:p>
          <w:p w14:paraId="1D73802F" w14:textId="7E17D53E" w:rsidR="0022262E" w:rsidRDefault="0022262E" w:rsidP="0022262E">
            <w:r>
              <w:t>Yale School of Medicine</w:t>
            </w:r>
          </w:p>
        </w:tc>
      </w:tr>
      <w:tr w:rsidR="00E569E1" w14:paraId="4B810996" w14:textId="77777777">
        <w:trPr>
          <w:tblCellSpacing w:w="15" w:type="dxa"/>
        </w:trPr>
        <w:tc>
          <w:tcPr>
            <w:tcW w:w="0" w:type="auto"/>
            <w:vAlign w:val="center"/>
          </w:tcPr>
          <w:p w14:paraId="470FFD9B" w14:textId="07184E25" w:rsidR="00E569E1" w:rsidRDefault="00E569E1"/>
        </w:tc>
      </w:tr>
      <w:tr w:rsidR="00E569E1" w14:paraId="7803078F" w14:textId="77777777">
        <w:trPr>
          <w:tblCellSpacing w:w="15" w:type="dxa"/>
        </w:trPr>
        <w:tc>
          <w:tcPr>
            <w:tcW w:w="0" w:type="auto"/>
            <w:vAlign w:val="center"/>
          </w:tcPr>
          <w:p w14:paraId="30599702" w14:textId="77777777" w:rsidR="00E569E1" w:rsidRDefault="00E569E1"/>
        </w:tc>
      </w:tr>
    </w:tbl>
    <w:p w14:paraId="2745DF01" w14:textId="77777777" w:rsidR="00E569E1" w:rsidRDefault="00E569E1"/>
    <w:p w14:paraId="3E88EC20" w14:textId="77777777" w:rsidR="001572B8" w:rsidRDefault="00926722" w:rsidP="00C86889">
      <w:pPr>
        <w:spacing w:after="200"/>
        <w:rPr>
          <w:rFonts w:ascii="Arial" w:eastAsia="Cambria" w:hAnsi="Arial" w:cs="Arial"/>
          <w:sz w:val="22"/>
          <w:szCs w:val="22"/>
        </w:rPr>
        <w:sectPr w:rsidR="001572B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E569E1" w14:paraId="1EDB68C1" w14:textId="77777777" w:rsidTr="00E56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25D75B66" w14:textId="77777777" w:rsidR="008F5709" w:rsidRPr="00CC0ABE" w:rsidRDefault="00926722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Program Goal: </w:t>
            </w:r>
          </w:p>
          <w:p w14:paraId="51DA0E60" w14:textId="77777777" w:rsidR="008F5709" w:rsidRPr="00CC0ABE" w:rsidRDefault="00926722" w:rsidP="00B62074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>1 Explain</w:t>
            </w:r>
            <w:r w:rsidRPr="00CC0ABE">
              <w:rPr>
                <w:rFonts w:ascii="Arial" w:eastAsia="Cambria" w:hAnsi="Arial" w:cs="Arial"/>
                <w:noProof/>
              </w:rPr>
              <w:t xml:space="preserve"> the central role of feedback in medical education</w:t>
            </w:r>
          </w:p>
          <w:p w14:paraId="35666D2A" w14:textId="77777777" w:rsidR="00E569E1" w:rsidRPr="00CC0ABE" w:rsidRDefault="00926722" w:rsidP="00B62074">
            <w:pPr>
              <w:spacing w:after="120"/>
              <w:rPr>
                <w:rFonts w:ascii="Arial" w:eastAsia="Cambria" w:hAnsi="Arial" w:cs="Arial"/>
                <w:noProof/>
              </w:rPr>
            </w:pPr>
            <w:r w:rsidRPr="00CC0ABE">
              <w:rPr>
                <w:rFonts w:ascii="Arial" w:eastAsia="Cambria" w:hAnsi="Arial" w:cs="Arial"/>
                <w:noProof/>
              </w:rPr>
              <w:t>2 Compare evidence-based interventions on clinical learning environment</w:t>
            </w:r>
          </w:p>
          <w:p w14:paraId="3576BA80" w14:textId="77777777" w:rsidR="00E569E1" w:rsidRPr="00CC0ABE" w:rsidRDefault="00926722" w:rsidP="00B62074">
            <w:pPr>
              <w:spacing w:after="120"/>
              <w:rPr>
                <w:rFonts w:ascii="Arial" w:eastAsia="Cambria" w:hAnsi="Arial" w:cs="Arial"/>
                <w:noProof/>
              </w:rPr>
            </w:pPr>
            <w:r w:rsidRPr="00CC0ABE">
              <w:rPr>
                <w:rFonts w:ascii="Arial" w:eastAsia="Cambria" w:hAnsi="Arial" w:cs="Arial"/>
                <w:noProof/>
              </w:rPr>
              <w:t>3 Define psychological safety</w:t>
            </w:r>
          </w:p>
          <w:p w14:paraId="26DD9CF7" w14:textId="77777777" w:rsidR="008F5709" w:rsidRPr="00CC0ABE" w:rsidRDefault="00926722" w:rsidP="00B62074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CC0ABE">
              <w:rPr>
                <w:rFonts w:ascii="Arial" w:eastAsia="Cambria" w:hAnsi="Arial" w:cs="Arial"/>
                <w:noProof/>
              </w:rPr>
              <w:t xml:space="preserve">4 </w:t>
            </w:r>
            <w:r w:rsidRPr="00CC0ABE">
              <w:rPr>
                <w:rFonts w:ascii="Arial" w:eastAsia="Cambria" w:hAnsi="Arial" w:cs="Arial"/>
                <w:noProof/>
              </w:rPr>
              <w:t>Be motivated and equipped to apply behavioral action steps to promote psychological safety</w:t>
            </w:r>
          </w:p>
        </w:tc>
      </w:tr>
      <w:tr w:rsidR="00E569E1" w14:paraId="76392E65" w14:textId="77777777" w:rsidTr="00E56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624E705B" w14:textId="77777777" w:rsidR="008F5709" w:rsidRPr="00CC0ABE" w:rsidRDefault="00926722" w:rsidP="008F5709">
            <w:pPr>
              <w:spacing w:before="120" w:after="20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Target Audience: </w:t>
            </w: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>Pediatrics</w:t>
            </w:r>
          </w:p>
        </w:tc>
      </w:tr>
    </w:tbl>
    <w:p w14:paraId="0AB5C2A5" w14:textId="77777777" w:rsidR="00CC0ABE" w:rsidRDefault="00926722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</w:p>
    <w:p w14:paraId="79F8E16B" w14:textId="735CB769" w:rsidR="004A543C" w:rsidRDefault="00926722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>
        <w:rPr>
          <w:rFonts w:ascii="Arial" w:eastAsia="Cambria" w:hAnsi="Arial" w:cs="Arial"/>
          <w:i/>
          <w:sz w:val="16"/>
          <w:szCs w:val="16"/>
        </w:rPr>
        <w:t xml:space="preserve">Financial Disclosure Information: </w:t>
      </w:r>
    </w:p>
    <w:p w14:paraId="46F53C24" w14:textId="07EDF880" w:rsidR="0022262E" w:rsidRDefault="0022262E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22262E">
        <w:rPr>
          <w:rFonts w:ascii="Arial" w:eastAsia="Cambria" w:hAnsi="Arial" w:cs="Arial"/>
          <w:i/>
          <w:sz w:val="16"/>
          <w:szCs w:val="16"/>
          <w:highlight w:val="yellow"/>
        </w:rPr>
        <w:t>Dana Dunne: Nothing to disclose</w:t>
      </w:r>
    </w:p>
    <w:p w14:paraId="5BECCFE3" w14:textId="77777777" w:rsidR="00C86889" w:rsidRPr="00512139" w:rsidRDefault="00926722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 xml:space="preserve">Accreditation Statement: Yale School of Medicine is accredited by </w:t>
      </w:r>
      <w:r w:rsidRPr="00512139">
        <w:rPr>
          <w:rFonts w:ascii="Arial" w:eastAsia="Cambria" w:hAnsi="Arial" w:cs="Arial"/>
          <w:i/>
          <w:sz w:val="16"/>
          <w:szCs w:val="16"/>
        </w:rPr>
        <w:t>the Accreditation Council for Continuing Medical Education (ACCME) to provide continuing medical education for physicians.</w:t>
      </w:r>
    </w:p>
    <w:p w14:paraId="26F027C9" w14:textId="77777777" w:rsidR="00C86889" w:rsidRPr="00512139" w:rsidRDefault="00926722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Designation Statement: Yale School of Medicine designates this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66330835" w14:textId="77777777" w:rsidR="00222E80" w:rsidRPr="00CC0ABE" w:rsidRDefault="00926722" w:rsidP="00222E80">
      <w:pPr>
        <w:spacing w:after="200"/>
        <w:rPr>
          <w:rFonts w:ascii="Arial" w:eastAsia="Cambria" w:hAnsi="Arial" w:cs="Arial"/>
          <w:b/>
          <w:bCs/>
          <w:color w:val="000000"/>
          <w:sz w:val="22"/>
          <w:szCs w:val="22"/>
        </w:rPr>
      </w:pPr>
      <w:r w:rsidRPr="00CC0ABE">
        <w:rPr>
          <w:rFonts w:ascii="Arial" w:eastAsia="Cambria" w:hAnsi="Arial" w:cs="Arial"/>
          <w:b/>
          <w:bCs/>
          <w:sz w:val="22"/>
          <w:szCs w:val="22"/>
        </w:rPr>
        <w:t xml:space="preserve">For questions, email </w:t>
      </w:r>
      <w:r w:rsidRPr="00CC0ABE">
        <w:rPr>
          <w:rFonts w:ascii="Arial" w:eastAsia="Cambria" w:hAnsi="Arial" w:cs="Arial"/>
          <w:b/>
          <w:bCs/>
          <w:noProof/>
          <w:sz w:val="22"/>
          <w:szCs w:val="22"/>
        </w:rPr>
        <w:t>andrew.taylor@yale.edu</w:t>
      </w:r>
      <w:r w:rsidRPr="00CC0ABE">
        <w:rPr>
          <w:rFonts w:ascii="Arial" w:eastAsia="Cambria" w:hAnsi="Arial" w:cs="Arial"/>
          <w:b/>
          <w:bCs/>
          <w:sz w:val="22"/>
          <w:szCs w:val="22"/>
        </w:rPr>
        <w:t>.</w:t>
      </w:r>
    </w:p>
    <w:p w14:paraId="4ECED050" w14:textId="77777777" w:rsidR="00B85050" w:rsidRDefault="00926722" w:rsidP="000A4A5D">
      <w:pPr>
        <w:jc w:val="center"/>
      </w:pPr>
    </w:p>
    <w:sectPr w:rsidR="00B85050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3C203" w14:textId="77777777" w:rsidR="00926722" w:rsidRDefault="00926722">
      <w:r>
        <w:separator/>
      </w:r>
    </w:p>
  </w:endnote>
  <w:endnote w:type="continuationSeparator" w:id="0">
    <w:p w14:paraId="02DDAB6E" w14:textId="77777777" w:rsidR="00926722" w:rsidRDefault="0092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A0490" w14:textId="77777777" w:rsidR="00926722" w:rsidRDefault="00926722">
      <w:r>
        <w:separator/>
      </w:r>
    </w:p>
  </w:footnote>
  <w:footnote w:type="continuationSeparator" w:id="0">
    <w:p w14:paraId="1BBD8184" w14:textId="77777777" w:rsidR="00926722" w:rsidRDefault="00926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28D4" w14:textId="77777777" w:rsidR="00525504" w:rsidRDefault="0092672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CFB1634" wp14:editId="778FC1BF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E1"/>
    <w:rsid w:val="0022262E"/>
    <w:rsid w:val="0041629D"/>
    <w:rsid w:val="00926722"/>
    <w:rsid w:val="00E5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267F61"/>
  <w15:docId w15:val="{FB599E29-0A5B-0C4E-B309-3D0D0E31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Drew</cp:lastModifiedBy>
  <cp:revision>2</cp:revision>
  <dcterms:created xsi:type="dcterms:W3CDTF">2022-04-13T15:25:00Z</dcterms:created>
  <dcterms:modified xsi:type="dcterms:W3CDTF">2022-04-13T15:25:00Z</dcterms:modified>
</cp:coreProperties>
</file>