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17C5E" w14:textId="77777777" w:rsidR="00C56D8A" w:rsidRDefault="00C56D8A"/>
    <w:p w14:paraId="608D1370" w14:textId="77777777" w:rsidR="00C56D8A" w:rsidRPr="00C56D8A" w:rsidRDefault="00C56D8A" w:rsidP="00C56D8A"/>
    <w:p w14:paraId="1F2FA21B" w14:textId="77777777" w:rsidR="00C56D8A" w:rsidRPr="00824F67" w:rsidRDefault="00824F67" w:rsidP="00C56D8A">
      <w:pPr>
        <w:pStyle w:val="BodyText"/>
        <w:spacing w:after="240"/>
        <w:rPr>
          <w:rFonts w:ascii="Garamond" w:hAnsi="Garamond"/>
          <w:b w:val="0"/>
          <w:bCs/>
          <w:sz w:val="44"/>
          <w:szCs w:val="44"/>
        </w:rPr>
      </w:pPr>
      <w:r w:rsidRPr="00824F67">
        <w:rPr>
          <w:rFonts w:ascii="Garamond" w:hAnsi="Garamond" w:cs="Microsoft Sans Serif"/>
          <w:color w:val="333333"/>
          <w:sz w:val="44"/>
          <w:szCs w:val="44"/>
        </w:rPr>
        <w:t>RHEUMATOLOGY GRAND ROUNDS</w:t>
      </w:r>
    </w:p>
    <w:p w14:paraId="016AA74D" w14:textId="77777777" w:rsidR="00C56D8A" w:rsidRPr="00900A44" w:rsidRDefault="00C56D8A" w:rsidP="00C56D8A">
      <w:pPr>
        <w:pStyle w:val="BodyText"/>
        <w:rPr>
          <w:rFonts w:ascii="Garamond" w:hAnsi="Garamond"/>
          <w:b w:val="0"/>
          <w:i/>
          <w:sz w:val="28"/>
          <w:szCs w:val="28"/>
        </w:rPr>
      </w:pPr>
      <w:r w:rsidRPr="00900A44">
        <w:rPr>
          <w:rFonts w:ascii="Garamond" w:hAnsi="Garamond"/>
          <w:b w:val="0"/>
          <w:i/>
          <w:sz w:val="28"/>
          <w:szCs w:val="28"/>
        </w:rPr>
        <w:t>Presented by</w:t>
      </w:r>
    </w:p>
    <w:p w14:paraId="73A0DF01" w14:textId="760CF6B7" w:rsidR="00C56D8A" w:rsidRPr="002B4C7C" w:rsidRDefault="00C56D8A" w:rsidP="00C56D8A">
      <w:pPr>
        <w:pStyle w:val="BodyText"/>
        <w:rPr>
          <w:sz w:val="28"/>
          <w:szCs w:val="28"/>
        </w:rPr>
      </w:pPr>
      <w:r w:rsidRPr="002B4C7C">
        <w:rPr>
          <w:sz w:val="28"/>
          <w:szCs w:val="28"/>
        </w:rPr>
        <w:t>Yale Schoo</w:t>
      </w:r>
      <w:r w:rsidR="004664E3">
        <w:rPr>
          <w:sz w:val="28"/>
          <w:szCs w:val="28"/>
        </w:rPr>
        <w:t>l of Medicine</w:t>
      </w:r>
      <w:r w:rsidR="005A02EB">
        <w:rPr>
          <w:sz w:val="28"/>
          <w:szCs w:val="28"/>
        </w:rPr>
        <w:t xml:space="preserve">, </w:t>
      </w:r>
      <w:r w:rsidR="004B7394">
        <w:rPr>
          <w:sz w:val="28"/>
          <w:szCs w:val="28"/>
        </w:rPr>
        <w:t xml:space="preserve">Department of </w:t>
      </w:r>
      <w:r w:rsidR="00824F67">
        <w:rPr>
          <w:sz w:val="28"/>
          <w:szCs w:val="28"/>
        </w:rPr>
        <w:t>Internal Medicine</w:t>
      </w:r>
      <w:r w:rsidRPr="00824F67">
        <w:rPr>
          <w:sz w:val="28"/>
          <w:szCs w:val="28"/>
        </w:rPr>
        <w:t>,</w:t>
      </w:r>
    </w:p>
    <w:p w14:paraId="7D9825BE" w14:textId="77777777" w:rsidR="00C56D8A" w:rsidRDefault="00C56D8A" w:rsidP="00C56D8A">
      <w:pPr>
        <w:jc w:val="center"/>
      </w:pPr>
      <w:r w:rsidRPr="002B4C7C">
        <w:rPr>
          <w:sz w:val="28"/>
          <w:szCs w:val="28"/>
        </w:rPr>
        <w:t xml:space="preserve">Section of </w:t>
      </w:r>
      <w:r w:rsidR="00824F67">
        <w:rPr>
          <w:sz w:val="28"/>
          <w:szCs w:val="28"/>
        </w:rPr>
        <w:t>Rheumatology</w:t>
      </w:r>
    </w:p>
    <w:p w14:paraId="50ECE37B" w14:textId="77777777" w:rsidR="00F75FDE" w:rsidRDefault="00F75FDE" w:rsidP="00C56D8A"/>
    <w:p w14:paraId="674CEC1F" w14:textId="03124926" w:rsidR="00824F67" w:rsidRPr="0017120B" w:rsidRDefault="004B7394" w:rsidP="00914FDB">
      <w:pPr>
        <w:jc w:val="center"/>
        <w:rPr>
          <w:b/>
          <w:color w:val="4472C4" w:themeColor="accent5"/>
          <w:sz w:val="88"/>
          <w:szCs w:val="88"/>
        </w:rPr>
      </w:pPr>
      <w:r w:rsidRPr="0017120B">
        <w:rPr>
          <w:b/>
          <w:color w:val="4472C4" w:themeColor="accent5"/>
          <w:sz w:val="88"/>
          <w:szCs w:val="88"/>
        </w:rPr>
        <w:t>“</w:t>
      </w:r>
      <w:r w:rsidR="0017120B" w:rsidRPr="0017120B">
        <w:rPr>
          <w:b/>
          <w:color w:val="4472C4" w:themeColor="accent5"/>
          <w:sz w:val="88"/>
          <w:szCs w:val="88"/>
        </w:rPr>
        <w:t>Myositis Autoantibodies</w:t>
      </w:r>
      <w:r w:rsidR="00950E75" w:rsidRPr="0017120B">
        <w:rPr>
          <w:b/>
          <w:color w:val="4472C4" w:themeColor="accent5"/>
          <w:sz w:val="88"/>
          <w:szCs w:val="88"/>
        </w:rPr>
        <w:t>”</w:t>
      </w:r>
    </w:p>
    <w:p w14:paraId="30618F96" w14:textId="77777777" w:rsidR="00914FDB" w:rsidRPr="00914FDB" w:rsidRDefault="00914FDB" w:rsidP="00914FDB">
      <w:pPr>
        <w:jc w:val="center"/>
        <w:rPr>
          <w:b/>
          <w:color w:val="4472C4" w:themeColor="accent5"/>
        </w:rPr>
      </w:pPr>
    </w:p>
    <w:p w14:paraId="45FE2F15" w14:textId="639DE4EB" w:rsidR="009B5EC4" w:rsidRPr="00914FDB" w:rsidRDefault="0017120B" w:rsidP="00C56D8A">
      <w:pPr>
        <w:jc w:val="center"/>
        <w:rPr>
          <w:b/>
          <w:color w:val="70AD47" w:themeColor="accent6"/>
          <w:sz w:val="72"/>
          <w:szCs w:val="72"/>
        </w:rPr>
      </w:pPr>
      <w:proofErr w:type="spellStart"/>
      <w:r>
        <w:rPr>
          <w:b/>
          <w:color w:val="70AD47" w:themeColor="accent6"/>
          <w:sz w:val="72"/>
          <w:szCs w:val="72"/>
        </w:rPr>
        <w:t>Rohit</w:t>
      </w:r>
      <w:proofErr w:type="spellEnd"/>
      <w:r>
        <w:rPr>
          <w:b/>
          <w:color w:val="70AD47" w:themeColor="accent6"/>
          <w:sz w:val="72"/>
          <w:szCs w:val="72"/>
        </w:rPr>
        <w:t xml:space="preserve"> Aggarwal</w:t>
      </w:r>
      <w:r w:rsidR="00D86E35" w:rsidRPr="00914FDB">
        <w:rPr>
          <w:b/>
          <w:color w:val="70AD47" w:themeColor="accent6"/>
          <w:sz w:val="72"/>
          <w:szCs w:val="72"/>
        </w:rPr>
        <w:t>,</w:t>
      </w:r>
      <w:r w:rsidR="007D03AC">
        <w:rPr>
          <w:b/>
          <w:color w:val="70AD47" w:themeColor="accent6"/>
          <w:sz w:val="72"/>
          <w:szCs w:val="72"/>
        </w:rPr>
        <w:t xml:space="preserve"> MD</w:t>
      </w:r>
      <w:r>
        <w:rPr>
          <w:b/>
          <w:color w:val="70AD47" w:themeColor="accent6"/>
          <w:sz w:val="72"/>
          <w:szCs w:val="72"/>
        </w:rPr>
        <w:t>, MS</w:t>
      </w:r>
    </w:p>
    <w:p w14:paraId="02263F0F" w14:textId="104DD7A7" w:rsidR="0017120B" w:rsidRDefault="0017120B" w:rsidP="0017120B">
      <w:pPr>
        <w:jc w:val="center"/>
        <w:rPr>
          <w:sz w:val="28"/>
          <w:szCs w:val="28"/>
        </w:rPr>
      </w:pPr>
      <w:r>
        <w:rPr>
          <w:sz w:val="28"/>
          <w:szCs w:val="28"/>
        </w:rPr>
        <w:t>Associate Professor of Medicine</w:t>
      </w:r>
    </w:p>
    <w:p w14:paraId="06D0092B" w14:textId="03A593DD" w:rsidR="00EB0BE1" w:rsidRPr="006A0F2E" w:rsidRDefault="0017120B" w:rsidP="007C3B40">
      <w:pPr>
        <w:jc w:val="center"/>
        <w:rPr>
          <w:sz w:val="28"/>
          <w:szCs w:val="28"/>
        </w:rPr>
      </w:pPr>
      <w:r>
        <w:rPr>
          <w:sz w:val="28"/>
          <w:szCs w:val="28"/>
        </w:rPr>
        <w:t>University of Pittsburgh School of Medicine, Division of Rheumatology and Clinical Immunology</w:t>
      </w:r>
    </w:p>
    <w:p w14:paraId="44CCB67D" w14:textId="2256B228" w:rsidR="00C56D8A" w:rsidRPr="00795814" w:rsidRDefault="004B7394" w:rsidP="00C56D8A">
      <w:pPr>
        <w:spacing w:before="240"/>
        <w:jc w:val="center"/>
        <w:rPr>
          <w:b/>
        </w:rPr>
      </w:pPr>
      <w:r w:rsidRPr="00795814">
        <w:rPr>
          <w:b/>
        </w:rPr>
        <w:t xml:space="preserve">Date: </w:t>
      </w:r>
      <w:r w:rsidR="00824F67" w:rsidRPr="00795814">
        <w:rPr>
          <w:b/>
        </w:rPr>
        <w:t xml:space="preserve">Wednesday, </w:t>
      </w:r>
      <w:r w:rsidR="009104D2">
        <w:rPr>
          <w:b/>
        </w:rPr>
        <w:t>April 18</w:t>
      </w:r>
      <w:r w:rsidR="0051068B">
        <w:rPr>
          <w:b/>
        </w:rPr>
        <w:t>, 2018</w:t>
      </w:r>
    </w:p>
    <w:p w14:paraId="7C81BCE9" w14:textId="5085278A" w:rsidR="00C56D8A" w:rsidRPr="00795814" w:rsidRDefault="004B7394" w:rsidP="00C56D8A">
      <w:pPr>
        <w:jc w:val="center"/>
        <w:rPr>
          <w:b/>
        </w:rPr>
      </w:pPr>
      <w:r w:rsidRPr="00795814">
        <w:rPr>
          <w:b/>
        </w:rPr>
        <w:t xml:space="preserve">Location: </w:t>
      </w:r>
      <w:r w:rsidR="00824F67" w:rsidRPr="00A32446">
        <w:t>300 Cedar St., TAC Building Room N-203</w:t>
      </w:r>
      <w:r w:rsidR="00A32446">
        <w:t>,</w:t>
      </w:r>
      <w:r w:rsidR="00A32446">
        <w:rPr>
          <w:b/>
        </w:rPr>
        <w:t xml:space="preserve"> Time: </w:t>
      </w:r>
      <w:r w:rsidR="00A32446" w:rsidRPr="00A32446">
        <w:t>8:00-9:00 am</w:t>
      </w:r>
    </w:p>
    <w:p w14:paraId="673BE618" w14:textId="77777777" w:rsidR="00C56D8A" w:rsidRDefault="00C56D8A" w:rsidP="00C56D8A">
      <w:pPr>
        <w:rPr>
          <w:b/>
          <w:sz w:val="28"/>
          <w:szCs w:val="28"/>
        </w:rPr>
      </w:pPr>
    </w:p>
    <w:p w14:paraId="7FF705E0" w14:textId="77777777" w:rsidR="00C56D8A" w:rsidRPr="002B4C7C" w:rsidRDefault="004B7394" w:rsidP="00C56D8A">
      <w:pPr>
        <w:jc w:val="center"/>
        <w:rPr>
          <w:b/>
        </w:rPr>
      </w:pPr>
      <w:r>
        <w:rPr>
          <w:b/>
        </w:rPr>
        <w:t>Course Director/Host</w:t>
      </w:r>
      <w:r w:rsidR="00C56D8A" w:rsidRPr="002B4C7C">
        <w:rPr>
          <w:b/>
        </w:rPr>
        <w:t xml:space="preserve">: </w:t>
      </w:r>
      <w:proofErr w:type="spellStart"/>
      <w:r w:rsidR="00AF4EA3" w:rsidRPr="00AF4EA3">
        <w:rPr>
          <w:b/>
        </w:rPr>
        <w:t>Insoo</w:t>
      </w:r>
      <w:proofErr w:type="spellEnd"/>
      <w:r w:rsidR="00AF4EA3" w:rsidRPr="00AF4EA3">
        <w:rPr>
          <w:b/>
        </w:rPr>
        <w:t xml:space="preserve"> Kang, MD</w:t>
      </w:r>
    </w:p>
    <w:p w14:paraId="42A95670" w14:textId="77777777" w:rsidR="00C56D8A" w:rsidRPr="00D039ED" w:rsidRDefault="00C56D8A" w:rsidP="00C56D8A">
      <w:pPr>
        <w:spacing w:before="240"/>
        <w:jc w:val="center"/>
        <w:rPr>
          <w:b/>
          <w:i/>
          <w:sz w:val="22"/>
          <w:szCs w:val="22"/>
        </w:rPr>
      </w:pPr>
      <w:r w:rsidRPr="00D039ED">
        <w:rPr>
          <w:b/>
          <w:i/>
          <w:sz w:val="22"/>
          <w:szCs w:val="22"/>
        </w:rPr>
        <w:t>There is no corporate support for this activity</w:t>
      </w:r>
    </w:p>
    <w:p w14:paraId="7565EE76" w14:textId="77777777" w:rsidR="00C56D8A" w:rsidRDefault="00C56D8A" w:rsidP="00C56D8A">
      <w:pPr>
        <w:jc w:val="center"/>
        <w:rPr>
          <w:sz w:val="22"/>
          <w:szCs w:val="22"/>
        </w:rPr>
      </w:pPr>
      <w:r w:rsidRPr="00D039ED">
        <w:rPr>
          <w:sz w:val="22"/>
          <w:szCs w:val="22"/>
        </w:rPr>
        <w:t>This course will fulfill the licensure requirement set forth by the State of Connecticut</w:t>
      </w:r>
    </w:p>
    <w:p w14:paraId="216E4169" w14:textId="77777777" w:rsidR="00AE21B7" w:rsidRDefault="00AE21B7" w:rsidP="00C56D8A">
      <w:pPr>
        <w:jc w:val="center"/>
        <w:rPr>
          <w:sz w:val="22"/>
          <w:szCs w:val="22"/>
        </w:rPr>
      </w:pPr>
    </w:p>
    <w:p w14:paraId="014B5BF5" w14:textId="77777777" w:rsidR="00DD2BF3" w:rsidRPr="00AE21B7" w:rsidRDefault="00DD2BF3" w:rsidP="00DD2BF3">
      <w:pPr>
        <w:rPr>
          <w:sz w:val="18"/>
          <w:szCs w:val="18"/>
        </w:rPr>
        <w:sectPr w:rsidR="00DD2BF3" w:rsidRPr="00AE21B7" w:rsidSect="00AE21B7">
          <w:headerReference w:type="default" r:id="rId7"/>
          <w:pgSz w:w="12240" w:h="15840"/>
          <w:pgMar w:top="820" w:right="720" w:bottom="720" w:left="720" w:header="720" w:footer="720" w:gutter="0"/>
          <w:cols w:space="720"/>
          <w:docGrid w:linePitch="360"/>
        </w:sectPr>
      </w:pPr>
    </w:p>
    <w:p w14:paraId="50B49B2E" w14:textId="77777777" w:rsidR="005D29F0" w:rsidRDefault="005D29F0" w:rsidP="00DD2BF3">
      <w:pPr>
        <w:rPr>
          <w:b/>
          <w:sz w:val="18"/>
          <w:szCs w:val="18"/>
          <w:u w:val="single"/>
        </w:rPr>
      </w:pPr>
    </w:p>
    <w:p w14:paraId="4313688C" w14:textId="77777777" w:rsidR="00DD2BF3" w:rsidRPr="00AE21B7" w:rsidRDefault="00DD2BF3" w:rsidP="00DD2BF3">
      <w:pPr>
        <w:rPr>
          <w:b/>
          <w:sz w:val="18"/>
          <w:szCs w:val="18"/>
          <w:u w:val="single"/>
        </w:rPr>
      </w:pPr>
      <w:r w:rsidRPr="00AE21B7">
        <w:rPr>
          <w:b/>
          <w:sz w:val="18"/>
          <w:szCs w:val="18"/>
          <w:u w:val="single"/>
        </w:rPr>
        <w:t>ACCREDITATION</w:t>
      </w:r>
    </w:p>
    <w:p w14:paraId="5A9E9E15" w14:textId="77777777" w:rsidR="00DD2BF3" w:rsidRPr="00AE21B7" w:rsidRDefault="00DD2BF3" w:rsidP="00DD2BF3">
      <w:pPr>
        <w:rPr>
          <w:sz w:val="18"/>
          <w:szCs w:val="18"/>
        </w:rPr>
      </w:pPr>
      <w:r w:rsidRPr="00AE21B7">
        <w:rPr>
          <w:sz w:val="18"/>
          <w:szCs w:val="18"/>
        </w:rPr>
        <w:t>The Yale School of Medicine is accredited by the Accreditation Council for Continuing Medical Education to provide continuing medical education for physicians.</w:t>
      </w:r>
    </w:p>
    <w:p w14:paraId="12236758" w14:textId="77777777" w:rsidR="00DD2BF3" w:rsidRPr="00AE21B7" w:rsidRDefault="00DD2BF3" w:rsidP="00DD2BF3">
      <w:pPr>
        <w:rPr>
          <w:sz w:val="18"/>
          <w:szCs w:val="18"/>
        </w:rPr>
      </w:pPr>
    </w:p>
    <w:p w14:paraId="06F1275D" w14:textId="67177F21" w:rsidR="005A02EB" w:rsidRPr="00AE21B7" w:rsidRDefault="00DD2BF3" w:rsidP="00DD2BF3">
      <w:pPr>
        <w:rPr>
          <w:b/>
          <w:sz w:val="18"/>
          <w:szCs w:val="18"/>
          <w:u w:val="single"/>
        </w:rPr>
      </w:pPr>
      <w:r w:rsidRPr="00AE21B7">
        <w:rPr>
          <w:b/>
          <w:sz w:val="18"/>
          <w:szCs w:val="18"/>
          <w:u w:val="single"/>
        </w:rPr>
        <w:t>TARGET AUDIENCE</w:t>
      </w:r>
    </w:p>
    <w:p w14:paraId="6C7FCC29" w14:textId="77777777" w:rsidR="00C45D58" w:rsidRPr="00AE21B7" w:rsidRDefault="005A02EB" w:rsidP="00DD2BF3">
      <w:pPr>
        <w:rPr>
          <w:sz w:val="18"/>
          <w:szCs w:val="18"/>
        </w:rPr>
      </w:pPr>
      <w:r w:rsidRPr="00AE21B7">
        <w:rPr>
          <w:sz w:val="18"/>
          <w:szCs w:val="18"/>
        </w:rPr>
        <w:t>Department faculty, attending physicians, s</w:t>
      </w:r>
      <w:r w:rsidR="00956655" w:rsidRPr="00AE21B7">
        <w:rPr>
          <w:sz w:val="18"/>
          <w:szCs w:val="18"/>
        </w:rPr>
        <w:t>ubspecial</w:t>
      </w:r>
      <w:r w:rsidRPr="00AE21B7">
        <w:rPr>
          <w:sz w:val="18"/>
          <w:szCs w:val="18"/>
        </w:rPr>
        <w:t>ty fellows</w:t>
      </w:r>
      <w:r w:rsidR="00956655" w:rsidRPr="00AE21B7">
        <w:rPr>
          <w:sz w:val="18"/>
          <w:szCs w:val="18"/>
        </w:rPr>
        <w:t>, community physicians, resident house staff, physician assistants and medical students.</w:t>
      </w:r>
    </w:p>
    <w:p w14:paraId="7DC835A1" w14:textId="77777777" w:rsidR="00DD2BF3" w:rsidRPr="00AE21B7" w:rsidRDefault="00DD2BF3" w:rsidP="00DD2BF3">
      <w:pPr>
        <w:rPr>
          <w:sz w:val="18"/>
          <w:szCs w:val="18"/>
        </w:rPr>
      </w:pPr>
    </w:p>
    <w:p w14:paraId="04BE61B2" w14:textId="77777777" w:rsidR="00DD2BF3" w:rsidRPr="00AE21B7" w:rsidRDefault="00DD2BF3" w:rsidP="00DD2BF3">
      <w:pPr>
        <w:rPr>
          <w:b/>
          <w:sz w:val="18"/>
          <w:szCs w:val="18"/>
          <w:u w:val="single"/>
        </w:rPr>
      </w:pPr>
      <w:r w:rsidRPr="00AE21B7">
        <w:rPr>
          <w:b/>
          <w:sz w:val="18"/>
          <w:szCs w:val="18"/>
          <w:u w:val="single"/>
        </w:rPr>
        <w:t>NEEDS ASSESSMENT</w:t>
      </w:r>
    </w:p>
    <w:p w14:paraId="71D1FAFA" w14:textId="275F7F87" w:rsidR="00795814" w:rsidRPr="005D29F0" w:rsidRDefault="005D29F0" w:rsidP="005D29F0">
      <w:pPr>
        <w:jc w:val="both"/>
        <w:rPr>
          <w:sz w:val="18"/>
          <w:szCs w:val="18"/>
        </w:rPr>
      </w:pPr>
      <w:r w:rsidRPr="005D29F0">
        <w:rPr>
          <w:sz w:val="18"/>
          <w:szCs w:val="18"/>
        </w:rPr>
        <w:t>Inflammatory myositis remains an area of rheumatology with many unknowns relating to disease pathogenesis. The role of autoantibodies associated with and specific to inflammatory myositis is an active area of research. Rheumatologists need to understand the role and nature of these autoantibodies as the have implications for disease features, treatment, and prognosis.</w:t>
      </w:r>
    </w:p>
    <w:p w14:paraId="58343D10" w14:textId="77777777" w:rsidR="00AE21B7" w:rsidRPr="00AE21B7" w:rsidRDefault="00AE21B7" w:rsidP="00AE21B7">
      <w:pPr>
        <w:rPr>
          <w:sz w:val="18"/>
          <w:szCs w:val="18"/>
        </w:rPr>
      </w:pPr>
    </w:p>
    <w:p w14:paraId="6960D5F2" w14:textId="77777777" w:rsidR="00DD2BF3" w:rsidRPr="00AE21B7" w:rsidRDefault="00DD2BF3" w:rsidP="00DD2BF3">
      <w:pPr>
        <w:rPr>
          <w:b/>
          <w:sz w:val="18"/>
          <w:szCs w:val="18"/>
          <w:u w:val="single"/>
        </w:rPr>
      </w:pPr>
      <w:r w:rsidRPr="00AE21B7">
        <w:rPr>
          <w:b/>
          <w:sz w:val="18"/>
          <w:szCs w:val="18"/>
          <w:u w:val="single"/>
        </w:rPr>
        <w:t>LEARNING OBJECTIVES</w:t>
      </w:r>
    </w:p>
    <w:p w14:paraId="6A52DA71" w14:textId="77777777" w:rsidR="0017120B" w:rsidRDefault="00DD2BF3" w:rsidP="0017120B">
      <w:pPr>
        <w:rPr>
          <w:sz w:val="18"/>
          <w:szCs w:val="18"/>
        </w:rPr>
      </w:pPr>
      <w:r w:rsidRPr="00AE21B7">
        <w:rPr>
          <w:sz w:val="18"/>
          <w:szCs w:val="18"/>
        </w:rPr>
        <w:t>At the conclusion of this activity, participants will be able to:</w:t>
      </w:r>
    </w:p>
    <w:p w14:paraId="0F119DA7" w14:textId="77777777" w:rsidR="0017120B" w:rsidRPr="0017120B" w:rsidRDefault="0017120B" w:rsidP="0017120B">
      <w:pPr>
        <w:rPr>
          <w:sz w:val="18"/>
          <w:szCs w:val="18"/>
        </w:rPr>
      </w:pPr>
      <w:r w:rsidRPr="0017120B">
        <w:rPr>
          <w:sz w:val="18"/>
          <w:szCs w:val="18"/>
        </w:rPr>
        <w:t xml:space="preserve">1. </w:t>
      </w:r>
      <w:r w:rsidRPr="0017120B">
        <w:rPr>
          <w:color w:val="000000"/>
          <w:sz w:val="18"/>
          <w:szCs w:val="18"/>
        </w:rPr>
        <w:t>To learn the role of myositis antibodies in diagnosis and classification of myositis.</w:t>
      </w:r>
    </w:p>
    <w:p w14:paraId="54955893" w14:textId="77777777" w:rsidR="0017120B" w:rsidRPr="0017120B" w:rsidRDefault="0017120B" w:rsidP="0017120B">
      <w:pPr>
        <w:rPr>
          <w:sz w:val="18"/>
          <w:szCs w:val="18"/>
        </w:rPr>
      </w:pPr>
      <w:r w:rsidRPr="0017120B">
        <w:rPr>
          <w:sz w:val="18"/>
          <w:szCs w:val="18"/>
        </w:rPr>
        <w:t xml:space="preserve">2. </w:t>
      </w:r>
      <w:r w:rsidRPr="0017120B">
        <w:rPr>
          <w:color w:val="000000"/>
          <w:sz w:val="18"/>
          <w:szCs w:val="18"/>
        </w:rPr>
        <w:t>To learn the role of myositis antibodies in treatment of myositis.</w:t>
      </w:r>
    </w:p>
    <w:p w14:paraId="76D0CA6B" w14:textId="7A3EF037" w:rsidR="0017120B" w:rsidRPr="0017120B" w:rsidRDefault="0017120B" w:rsidP="0017120B">
      <w:pPr>
        <w:rPr>
          <w:sz w:val="18"/>
          <w:szCs w:val="18"/>
        </w:rPr>
      </w:pPr>
      <w:r w:rsidRPr="0017120B">
        <w:rPr>
          <w:sz w:val="18"/>
          <w:szCs w:val="18"/>
        </w:rPr>
        <w:t xml:space="preserve">3. </w:t>
      </w:r>
      <w:r w:rsidRPr="0017120B">
        <w:rPr>
          <w:color w:val="000000"/>
          <w:sz w:val="18"/>
          <w:szCs w:val="18"/>
        </w:rPr>
        <w:t>To learn the role of myositis antibodies in prognosis  of myositis.</w:t>
      </w:r>
    </w:p>
    <w:p w14:paraId="7C57287A" w14:textId="77777777" w:rsidR="0021302A" w:rsidRDefault="0021302A" w:rsidP="005A02EB">
      <w:pPr>
        <w:rPr>
          <w:b/>
          <w:sz w:val="18"/>
          <w:szCs w:val="18"/>
          <w:u w:val="single"/>
        </w:rPr>
      </w:pPr>
    </w:p>
    <w:p w14:paraId="7A728D8C" w14:textId="77777777" w:rsidR="009E445A" w:rsidRDefault="009E445A" w:rsidP="005A02EB">
      <w:pPr>
        <w:rPr>
          <w:b/>
          <w:sz w:val="18"/>
          <w:szCs w:val="18"/>
          <w:u w:val="single"/>
        </w:rPr>
      </w:pPr>
    </w:p>
    <w:p w14:paraId="17AD2168" w14:textId="77777777" w:rsidR="009E445A" w:rsidRDefault="009E445A" w:rsidP="005A02EB">
      <w:pPr>
        <w:rPr>
          <w:b/>
          <w:sz w:val="18"/>
          <w:szCs w:val="18"/>
          <w:u w:val="single"/>
        </w:rPr>
      </w:pPr>
    </w:p>
    <w:p w14:paraId="15AC1F4F" w14:textId="77777777" w:rsidR="005D29F0" w:rsidRDefault="005D29F0" w:rsidP="005A02EB">
      <w:pPr>
        <w:rPr>
          <w:b/>
          <w:sz w:val="18"/>
          <w:szCs w:val="18"/>
          <w:u w:val="single"/>
        </w:rPr>
      </w:pPr>
    </w:p>
    <w:p w14:paraId="67E75BD6" w14:textId="77777777" w:rsidR="009E445A" w:rsidRDefault="009E445A" w:rsidP="005A02EB">
      <w:pPr>
        <w:rPr>
          <w:b/>
          <w:sz w:val="18"/>
          <w:szCs w:val="18"/>
          <w:u w:val="single"/>
        </w:rPr>
      </w:pPr>
    </w:p>
    <w:p w14:paraId="4D860410" w14:textId="10CE59EA" w:rsidR="005A02EB" w:rsidRPr="00AE21B7" w:rsidRDefault="005A02EB" w:rsidP="005A02EB">
      <w:pPr>
        <w:rPr>
          <w:b/>
          <w:sz w:val="18"/>
          <w:szCs w:val="18"/>
          <w:u w:val="single"/>
        </w:rPr>
      </w:pPr>
      <w:bookmarkStart w:id="0" w:name="_GoBack"/>
      <w:bookmarkEnd w:id="0"/>
      <w:r w:rsidRPr="00AE21B7">
        <w:rPr>
          <w:b/>
          <w:sz w:val="18"/>
          <w:szCs w:val="18"/>
          <w:u w:val="single"/>
        </w:rPr>
        <w:t>DESIGNATION STATEMENT</w:t>
      </w:r>
    </w:p>
    <w:p w14:paraId="04EB48F8" w14:textId="77777777" w:rsidR="00B63324" w:rsidRDefault="005A02EB" w:rsidP="00B63324">
      <w:pPr>
        <w:rPr>
          <w:sz w:val="18"/>
          <w:szCs w:val="18"/>
        </w:rPr>
      </w:pPr>
      <w:r w:rsidRPr="00AE21B7">
        <w:rPr>
          <w:sz w:val="18"/>
          <w:szCs w:val="18"/>
        </w:rPr>
        <w:t xml:space="preserve">The Yale School of Medicine designates this live activity for 1 AMA PRA Category 1 Credit(s)™.  Physicians should only claim the credit commensurate with the extent of their participation in the activity. </w:t>
      </w:r>
    </w:p>
    <w:p w14:paraId="4CB31BC0" w14:textId="77777777" w:rsidR="00B63324" w:rsidRDefault="00B63324" w:rsidP="00B63324">
      <w:pPr>
        <w:rPr>
          <w:b/>
          <w:sz w:val="18"/>
          <w:szCs w:val="18"/>
          <w:u w:val="single"/>
        </w:rPr>
      </w:pPr>
    </w:p>
    <w:p w14:paraId="3684CB32" w14:textId="515B1561" w:rsidR="00B63324" w:rsidRPr="00B63324" w:rsidRDefault="00DD2BF3" w:rsidP="00B63324">
      <w:pPr>
        <w:rPr>
          <w:sz w:val="18"/>
          <w:szCs w:val="18"/>
        </w:rPr>
      </w:pPr>
      <w:r w:rsidRPr="00AE21B7">
        <w:rPr>
          <w:b/>
          <w:sz w:val="18"/>
          <w:szCs w:val="18"/>
          <w:u w:val="single"/>
        </w:rPr>
        <w:t>FACULTY DISCLOSURES</w:t>
      </w:r>
    </w:p>
    <w:p w14:paraId="506B7CB9" w14:textId="7A609AE9" w:rsidR="009E445A" w:rsidRDefault="005A02EB" w:rsidP="00DD2BF3">
      <w:pPr>
        <w:rPr>
          <w:color w:val="000000"/>
          <w:sz w:val="18"/>
          <w:szCs w:val="18"/>
        </w:rPr>
      </w:pPr>
      <w:r w:rsidRPr="00AE21B7">
        <w:rPr>
          <w:i/>
          <w:sz w:val="18"/>
          <w:szCs w:val="18"/>
        </w:rPr>
        <w:t>Speaker:</w:t>
      </w:r>
      <w:r w:rsidRPr="00AE21B7">
        <w:rPr>
          <w:sz w:val="18"/>
          <w:szCs w:val="18"/>
        </w:rPr>
        <w:t xml:space="preserve"> </w:t>
      </w:r>
      <w:proofErr w:type="spellStart"/>
      <w:r w:rsidR="0017120B">
        <w:rPr>
          <w:sz w:val="18"/>
          <w:szCs w:val="18"/>
        </w:rPr>
        <w:t>Rohit</w:t>
      </w:r>
      <w:proofErr w:type="spellEnd"/>
      <w:r w:rsidR="0017120B">
        <w:rPr>
          <w:sz w:val="18"/>
          <w:szCs w:val="18"/>
        </w:rPr>
        <w:t xml:space="preserve"> Aggarwal, MD, MS</w:t>
      </w:r>
      <w:r w:rsidR="006A0F2E">
        <w:rPr>
          <w:color w:val="000000"/>
          <w:sz w:val="18"/>
          <w:szCs w:val="18"/>
        </w:rPr>
        <w:t>-</w:t>
      </w:r>
      <w:r w:rsidR="0017120B">
        <w:rPr>
          <w:color w:val="000000"/>
          <w:sz w:val="18"/>
          <w:szCs w:val="18"/>
        </w:rPr>
        <w:t xml:space="preserve"> Mallinckrodt (advisory board &amp; research grant); BMS (consultant &amp; research grant), Pfizer (research grant), Genentech (research grant), Momenta (advisory board &amp; research grant), </w:t>
      </w:r>
      <w:proofErr w:type="spellStart"/>
      <w:r w:rsidR="0017120B">
        <w:rPr>
          <w:color w:val="000000"/>
          <w:sz w:val="18"/>
          <w:szCs w:val="18"/>
        </w:rPr>
        <w:t>Octapharma</w:t>
      </w:r>
      <w:proofErr w:type="spellEnd"/>
      <w:r w:rsidR="0017120B">
        <w:rPr>
          <w:color w:val="000000"/>
          <w:sz w:val="18"/>
          <w:szCs w:val="18"/>
        </w:rPr>
        <w:t xml:space="preserve"> &amp; Behring (advisory board &amp; consultant), </w:t>
      </w:r>
      <w:proofErr w:type="spellStart"/>
      <w:r w:rsidR="0017120B">
        <w:rPr>
          <w:color w:val="000000"/>
          <w:sz w:val="18"/>
          <w:szCs w:val="18"/>
        </w:rPr>
        <w:t>Astrazeneca</w:t>
      </w:r>
      <w:proofErr w:type="spellEnd"/>
      <w:r w:rsidR="0017120B">
        <w:rPr>
          <w:color w:val="000000"/>
          <w:sz w:val="18"/>
          <w:szCs w:val="18"/>
        </w:rPr>
        <w:t xml:space="preserve"> (consultant)</w:t>
      </w:r>
    </w:p>
    <w:p w14:paraId="0BF0660E" w14:textId="469C9E99" w:rsidR="00DD2BF3" w:rsidRDefault="005A02EB" w:rsidP="00DD2BF3">
      <w:pPr>
        <w:rPr>
          <w:sz w:val="18"/>
          <w:szCs w:val="18"/>
        </w:rPr>
      </w:pPr>
      <w:r w:rsidRPr="00AE21B7">
        <w:rPr>
          <w:i/>
          <w:sz w:val="18"/>
          <w:szCs w:val="18"/>
        </w:rPr>
        <w:t>Course Director:</w:t>
      </w:r>
      <w:r w:rsidRPr="00AE21B7">
        <w:rPr>
          <w:sz w:val="18"/>
          <w:szCs w:val="18"/>
        </w:rPr>
        <w:t xml:space="preserve"> </w:t>
      </w:r>
      <w:proofErr w:type="spellStart"/>
      <w:r w:rsidR="00AF4EA3" w:rsidRPr="00AE21B7">
        <w:rPr>
          <w:sz w:val="18"/>
          <w:szCs w:val="18"/>
        </w:rPr>
        <w:t>Insoo</w:t>
      </w:r>
      <w:proofErr w:type="spellEnd"/>
      <w:r w:rsidR="00AF4EA3" w:rsidRPr="00AE21B7">
        <w:rPr>
          <w:sz w:val="18"/>
          <w:szCs w:val="18"/>
        </w:rPr>
        <w:t xml:space="preserve"> Kang, MD</w:t>
      </w:r>
      <w:r w:rsidRPr="00AE21B7">
        <w:rPr>
          <w:sz w:val="18"/>
          <w:szCs w:val="18"/>
        </w:rPr>
        <w:t xml:space="preserve"> </w:t>
      </w:r>
      <w:r w:rsidR="00914FDB">
        <w:rPr>
          <w:sz w:val="18"/>
          <w:szCs w:val="18"/>
        </w:rPr>
        <w:t>–</w:t>
      </w:r>
      <w:r w:rsidRPr="00AE21B7">
        <w:rPr>
          <w:sz w:val="18"/>
          <w:szCs w:val="18"/>
        </w:rPr>
        <w:t xml:space="preserve"> </w:t>
      </w:r>
      <w:r w:rsidR="00AF4EA3" w:rsidRPr="00AE21B7">
        <w:rPr>
          <w:sz w:val="18"/>
          <w:szCs w:val="18"/>
        </w:rPr>
        <w:t>NONE</w:t>
      </w:r>
    </w:p>
    <w:p w14:paraId="6CFBC5EB" w14:textId="77777777" w:rsidR="00914FDB" w:rsidRPr="00AE21B7" w:rsidRDefault="00914FDB" w:rsidP="00DD2BF3">
      <w:pPr>
        <w:rPr>
          <w:sz w:val="18"/>
          <w:szCs w:val="18"/>
        </w:rPr>
      </w:pPr>
    </w:p>
    <w:p w14:paraId="2087D013" w14:textId="77777777" w:rsidR="00C56D8A" w:rsidRPr="00AE21B7" w:rsidRDefault="00DD2BF3" w:rsidP="00DD2BF3">
      <w:pPr>
        <w:rPr>
          <w:sz w:val="18"/>
          <w:szCs w:val="18"/>
        </w:rPr>
      </w:pPr>
      <w:r w:rsidRPr="00AE21B7">
        <w:rPr>
          <w:sz w:val="18"/>
          <w:szCs w:val="18"/>
        </w:rPr>
        <w:t>It is the policy of Yale School of Medicine, Continuing Medical Education, to ensure balance, independence, objectivity and scientific rigor in all its educational programs.  All faculty participating as speakers in these programs are required to disclose any relevant financial relationship(s) they (or spouse or partner) have with a commercial interest that benefits the individual in any financial amount that has occurred within the past 12 months; and the opportunity to affect the content of CME about the products or services of the commercial interests.  The Center for Continuing Medical Education will ensure that any conflicts of interest are resolved before the educational activity occurs.</w:t>
      </w:r>
    </w:p>
    <w:sectPr w:rsidR="00C56D8A" w:rsidRPr="00AE21B7" w:rsidSect="00AE21B7">
      <w:type w:val="continuous"/>
      <w:pgSz w:w="12240" w:h="15840"/>
      <w:pgMar w:top="8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8D174" w14:textId="77777777" w:rsidR="0039730B" w:rsidRDefault="0039730B" w:rsidP="00C56D8A">
      <w:r>
        <w:separator/>
      </w:r>
    </w:p>
  </w:endnote>
  <w:endnote w:type="continuationSeparator" w:id="0">
    <w:p w14:paraId="3B4911D0" w14:textId="77777777" w:rsidR="0039730B" w:rsidRDefault="0039730B" w:rsidP="00C56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egoe UI">
    <w:panose1 w:val="020B0604020202020204"/>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50E48" w14:textId="77777777" w:rsidR="0039730B" w:rsidRDefault="0039730B" w:rsidP="00C56D8A">
      <w:r>
        <w:separator/>
      </w:r>
    </w:p>
  </w:footnote>
  <w:footnote w:type="continuationSeparator" w:id="0">
    <w:p w14:paraId="02B368C4" w14:textId="77777777" w:rsidR="0039730B" w:rsidRDefault="0039730B" w:rsidP="00C56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5BA6D" w14:textId="58E076D0" w:rsidR="00AF4EA3" w:rsidRPr="00C56D8A" w:rsidRDefault="00AE21B7" w:rsidP="000C6878">
    <w:pPr>
      <w:pStyle w:val="Header"/>
      <w:tabs>
        <w:tab w:val="clear" w:pos="4680"/>
        <w:tab w:val="clear" w:pos="9360"/>
        <w:tab w:val="left" w:pos="2280"/>
      </w:tabs>
      <w:rPr>
        <w:b/>
      </w:rPr>
    </w:pPr>
    <w:r w:rsidRPr="00C56D8A">
      <w:rPr>
        <w:b/>
        <w:noProof/>
      </w:rPr>
      <w:drawing>
        <wp:anchor distT="0" distB="0" distL="114300" distR="114300" simplePos="0" relativeHeight="251658240" behindDoc="0" locked="0" layoutInCell="1" allowOverlap="1" wp14:anchorId="7512F380" wp14:editId="092A688F">
          <wp:simplePos x="0" y="0"/>
          <wp:positionH relativeFrom="column">
            <wp:posOffset>5257800</wp:posOffset>
          </wp:positionH>
          <wp:positionV relativeFrom="paragraph">
            <wp:posOffset>-165100</wp:posOffset>
          </wp:positionV>
          <wp:extent cx="1828800" cy="4756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28800" cy="4756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F4EA3" w:rsidRPr="00C56D8A">
      <w:rPr>
        <w:b/>
        <w:noProof/>
      </w:rPr>
      <w:drawing>
        <wp:anchor distT="0" distB="0" distL="114300" distR="114300" simplePos="0" relativeHeight="251659264" behindDoc="1" locked="0" layoutInCell="1" allowOverlap="1" wp14:anchorId="28C9D161" wp14:editId="363AF396">
          <wp:simplePos x="0" y="0"/>
          <wp:positionH relativeFrom="column">
            <wp:posOffset>-259080</wp:posOffset>
          </wp:positionH>
          <wp:positionV relativeFrom="paragraph">
            <wp:posOffset>-165100</wp:posOffset>
          </wp:positionV>
          <wp:extent cx="774065" cy="800100"/>
          <wp:effectExtent l="0" t="0" r="0" b="12700"/>
          <wp:wrapTight wrapText="bothSides">
            <wp:wrapPolygon edited="0">
              <wp:start x="0" y="0"/>
              <wp:lineTo x="0" y="21257"/>
              <wp:lineTo x="20555" y="21257"/>
              <wp:lineTo x="20555" y="0"/>
              <wp:lineTo x="0" y="0"/>
            </wp:wrapPolygon>
          </wp:wrapTight>
          <wp:docPr id="3" name="Picture 3" descr="medcl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clr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406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4EA3">
      <w:rPr>
        <w:rFonts w:ascii="Garamond" w:hAnsi="Garamond" w:cs="Microsoft Sans Serif"/>
        <w:b/>
        <w:color w:val="FF0000"/>
        <w:sz w:val="7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7703F6"/>
    <w:multiLevelType w:val="multilevel"/>
    <w:tmpl w:val="509C0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A1C"/>
    <w:rsid w:val="000A6118"/>
    <w:rsid w:val="000C3CEA"/>
    <w:rsid w:val="000C6878"/>
    <w:rsid w:val="00135F60"/>
    <w:rsid w:val="0017120B"/>
    <w:rsid w:val="001E11C6"/>
    <w:rsid w:val="001E4F40"/>
    <w:rsid w:val="0021302A"/>
    <w:rsid w:val="00251FCA"/>
    <w:rsid w:val="00255D45"/>
    <w:rsid w:val="0030414D"/>
    <w:rsid w:val="00321CB9"/>
    <w:rsid w:val="0039730B"/>
    <w:rsid w:val="0042437C"/>
    <w:rsid w:val="00426B2C"/>
    <w:rsid w:val="0045165A"/>
    <w:rsid w:val="00456098"/>
    <w:rsid w:val="004664E3"/>
    <w:rsid w:val="00475DC9"/>
    <w:rsid w:val="004B7394"/>
    <w:rsid w:val="0051068B"/>
    <w:rsid w:val="005349BC"/>
    <w:rsid w:val="00566D8F"/>
    <w:rsid w:val="005A02EB"/>
    <w:rsid w:val="005D29F0"/>
    <w:rsid w:val="005F7F7A"/>
    <w:rsid w:val="00606732"/>
    <w:rsid w:val="00653FA6"/>
    <w:rsid w:val="006A0F2E"/>
    <w:rsid w:val="006C0D5F"/>
    <w:rsid w:val="00733614"/>
    <w:rsid w:val="0076429F"/>
    <w:rsid w:val="00795814"/>
    <w:rsid w:val="007A7132"/>
    <w:rsid w:val="007B533D"/>
    <w:rsid w:val="007C3B40"/>
    <w:rsid w:val="007C68F4"/>
    <w:rsid w:val="007D03AC"/>
    <w:rsid w:val="007F4F4A"/>
    <w:rsid w:val="007F6B0F"/>
    <w:rsid w:val="008119DC"/>
    <w:rsid w:val="00824F67"/>
    <w:rsid w:val="00844D0C"/>
    <w:rsid w:val="008575F8"/>
    <w:rsid w:val="009104D2"/>
    <w:rsid w:val="00914FDB"/>
    <w:rsid w:val="00950E75"/>
    <w:rsid w:val="009516A9"/>
    <w:rsid w:val="00956655"/>
    <w:rsid w:val="0099031C"/>
    <w:rsid w:val="009A1A27"/>
    <w:rsid w:val="009A6A1D"/>
    <w:rsid w:val="009B5EC4"/>
    <w:rsid w:val="009E445A"/>
    <w:rsid w:val="00A32446"/>
    <w:rsid w:val="00A37952"/>
    <w:rsid w:val="00A46992"/>
    <w:rsid w:val="00AB3D55"/>
    <w:rsid w:val="00AD4394"/>
    <w:rsid w:val="00AE21B7"/>
    <w:rsid w:val="00AF4130"/>
    <w:rsid w:val="00AF4EA3"/>
    <w:rsid w:val="00B63324"/>
    <w:rsid w:val="00C11A1C"/>
    <w:rsid w:val="00C45D58"/>
    <w:rsid w:val="00C56D8A"/>
    <w:rsid w:val="00C67BEE"/>
    <w:rsid w:val="00D57931"/>
    <w:rsid w:val="00D86E35"/>
    <w:rsid w:val="00DA355D"/>
    <w:rsid w:val="00DB6CDA"/>
    <w:rsid w:val="00DD2BF3"/>
    <w:rsid w:val="00EA528F"/>
    <w:rsid w:val="00EB0BE1"/>
    <w:rsid w:val="00F37858"/>
    <w:rsid w:val="00F46CDA"/>
    <w:rsid w:val="00F614E7"/>
    <w:rsid w:val="00F633AE"/>
    <w:rsid w:val="00F64A4D"/>
    <w:rsid w:val="00F75252"/>
    <w:rsid w:val="00F75F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BC899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56D8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6D8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56D8A"/>
  </w:style>
  <w:style w:type="paragraph" w:styleId="Footer">
    <w:name w:val="footer"/>
    <w:basedOn w:val="Normal"/>
    <w:link w:val="FooterChar"/>
    <w:uiPriority w:val="99"/>
    <w:unhideWhenUsed/>
    <w:rsid w:val="00C56D8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56D8A"/>
  </w:style>
  <w:style w:type="paragraph" w:styleId="BodyText">
    <w:name w:val="Body Text"/>
    <w:basedOn w:val="Normal"/>
    <w:link w:val="BodyTextChar"/>
    <w:rsid w:val="00C56D8A"/>
    <w:pPr>
      <w:jc w:val="center"/>
    </w:pPr>
    <w:rPr>
      <w:b/>
      <w:snapToGrid w:val="0"/>
      <w:sz w:val="56"/>
      <w:szCs w:val="20"/>
    </w:rPr>
  </w:style>
  <w:style w:type="character" w:customStyle="1" w:styleId="BodyTextChar">
    <w:name w:val="Body Text Char"/>
    <w:basedOn w:val="DefaultParagraphFont"/>
    <w:link w:val="BodyText"/>
    <w:rsid w:val="00C56D8A"/>
    <w:rPr>
      <w:rFonts w:ascii="Times New Roman" w:eastAsia="Times New Roman" w:hAnsi="Times New Roman" w:cs="Times New Roman"/>
      <w:b/>
      <w:snapToGrid w:val="0"/>
      <w:sz w:val="56"/>
      <w:szCs w:val="20"/>
    </w:rPr>
  </w:style>
  <w:style w:type="paragraph" w:styleId="BalloonText">
    <w:name w:val="Balloon Text"/>
    <w:basedOn w:val="Normal"/>
    <w:link w:val="BalloonTextChar"/>
    <w:uiPriority w:val="99"/>
    <w:semiHidden/>
    <w:unhideWhenUsed/>
    <w:rsid w:val="004560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098"/>
    <w:rPr>
      <w:rFonts w:ascii="Segoe UI" w:eastAsia="Times New Roman" w:hAnsi="Segoe UI" w:cs="Segoe UI"/>
      <w:sz w:val="18"/>
      <w:szCs w:val="18"/>
    </w:rPr>
  </w:style>
  <w:style w:type="paragraph" w:styleId="ListParagraph">
    <w:name w:val="List Paragraph"/>
    <w:basedOn w:val="Normal"/>
    <w:uiPriority w:val="34"/>
    <w:qFormat/>
    <w:rsid w:val="00AE21B7"/>
    <w:pPr>
      <w:ind w:left="720"/>
      <w:contextualSpacing/>
    </w:pPr>
  </w:style>
  <w:style w:type="paragraph" w:customStyle="1" w:styleId="xmsonormal">
    <w:name w:val="x_msonormal"/>
    <w:basedOn w:val="Normal"/>
    <w:rsid w:val="008119DC"/>
    <w:pPr>
      <w:spacing w:before="100" w:beforeAutospacing="1" w:after="100" w:afterAutospacing="1"/>
    </w:pPr>
    <w:rPr>
      <w:rFonts w:eastAsiaTheme="minorHAnsi"/>
    </w:rPr>
  </w:style>
  <w:style w:type="character" w:customStyle="1" w:styleId="apple-converted-space">
    <w:name w:val="apple-converted-space"/>
    <w:basedOn w:val="DefaultParagraphFont"/>
    <w:rsid w:val="001E4F40"/>
  </w:style>
  <w:style w:type="paragraph" w:styleId="NormalWeb">
    <w:name w:val="Normal (Web)"/>
    <w:basedOn w:val="Normal"/>
    <w:uiPriority w:val="99"/>
    <w:unhideWhenUsed/>
    <w:rsid w:val="00A32446"/>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240281">
      <w:bodyDiv w:val="1"/>
      <w:marLeft w:val="0"/>
      <w:marRight w:val="0"/>
      <w:marTop w:val="0"/>
      <w:marBottom w:val="0"/>
      <w:divBdr>
        <w:top w:val="none" w:sz="0" w:space="0" w:color="auto"/>
        <w:left w:val="none" w:sz="0" w:space="0" w:color="auto"/>
        <w:bottom w:val="none" w:sz="0" w:space="0" w:color="auto"/>
        <w:right w:val="none" w:sz="0" w:space="0" w:color="auto"/>
      </w:divBdr>
    </w:div>
    <w:div w:id="496384251">
      <w:bodyDiv w:val="1"/>
      <w:marLeft w:val="0"/>
      <w:marRight w:val="0"/>
      <w:marTop w:val="0"/>
      <w:marBottom w:val="0"/>
      <w:divBdr>
        <w:top w:val="none" w:sz="0" w:space="0" w:color="auto"/>
        <w:left w:val="none" w:sz="0" w:space="0" w:color="auto"/>
        <w:bottom w:val="none" w:sz="0" w:space="0" w:color="auto"/>
        <w:right w:val="none" w:sz="0" w:space="0" w:color="auto"/>
      </w:divBdr>
      <w:divsChild>
        <w:div w:id="327707413">
          <w:marLeft w:val="0"/>
          <w:marRight w:val="0"/>
          <w:marTop w:val="0"/>
          <w:marBottom w:val="0"/>
          <w:divBdr>
            <w:top w:val="none" w:sz="0" w:space="0" w:color="auto"/>
            <w:left w:val="none" w:sz="0" w:space="0" w:color="auto"/>
            <w:bottom w:val="none" w:sz="0" w:space="0" w:color="auto"/>
            <w:right w:val="none" w:sz="0" w:space="0" w:color="auto"/>
          </w:divBdr>
        </w:div>
      </w:divsChild>
    </w:div>
    <w:div w:id="836843550">
      <w:bodyDiv w:val="1"/>
      <w:marLeft w:val="0"/>
      <w:marRight w:val="0"/>
      <w:marTop w:val="0"/>
      <w:marBottom w:val="0"/>
      <w:divBdr>
        <w:top w:val="none" w:sz="0" w:space="0" w:color="auto"/>
        <w:left w:val="none" w:sz="0" w:space="0" w:color="auto"/>
        <w:bottom w:val="none" w:sz="0" w:space="0" w:color="auto"/>
        <w:right w:val="none" w:sz="0" w:space="0" w:color="auto"/>
      </w:divBdr>
    </w:div>
    <w:div w:id="1005015772">
      <w:bodyDiv w:val="1"/>
      <w:marLeft w:val="0"/>
      <w:marRight w:val="0"/>
      <w:marTop w:val="0"/>
      <w:marBottom w:val="0"/>
      <w:divBdr>
        <w:top w:val="none" w:sz="0" w:space="0" w:color="auto"/>
        <w:left w:val="none" w:sz="0" w:space="0" w:color="auto"/>
        <w:bottom w:val="none" w:sz="0" w:space="0" w:color="auto"/>
        <w:right w:val="none" w:sz="0" w:space="0" w:color="auto"/>
      </w:divBdr>
    </w:div>
    <w:div w:id="1278294858">
      <w:bodyDiv w:val="1"/>
      <w:marLeft w:val="0"/>
      <w:marRight w:val="0"/>
      <w:marTop w:val="0"/>
      <w:marBottom w:val="0"/>
      <w:divBdr>
        <w:top w:val="none" w:sz="0" w:space="0" w:color="auto"/>
        <w:left w:val="none" w:sz="0" w:space="0" w:color="auto"/>
        <w:bottom w:val="none" w:sz="0" w:space="0" w:color="auto"/>
        <w:right w:val="none" w:sz="0" w:space="0" w:color="auto"/>
      </w:divBdr>
      <w:divsChild>
        <w:div w:id="538323371">
          <w:marLeft w:val="0"/>
          <w:marRight w:val="0"/>
          <w:marTop w:val="0"/>
          <w:marBottom w:val="0"/>
          <w:divBdr>
            <w:top w:val="none" w:sz="0" w:space="0" w:color="auto"/>
            <w:left w:val="none" w:sz="0" w:space="0" w:color="auto"/>
            <w:bottom w:val="none" w:sz="0" w:space="0" w:color="auto"/>
            <w:right w:val="none" w:sz="0" w:space="0" w:color="auto"/>
          </w:divBdr>
        </w:div>
        <w:div w:id="470634901">
          <w:marLeft w:val="0"/>
          <w:marRight w:val="0"/>
          <w:marTop w:val="0"/>
          <w:marBottom w:val="0"/>
          <w:divBdr>
            <w:top w:val="none" w:sz="0" w:space="0" w:color="auto"/>
            <w:left w:val="none" w:sz="0" w:space="0" w:color="auto"/>
            <w:bottom w:val="none" w:sz="0" w:space="0" w:color="auto"/>
            <w:right w:val="none" w:sz="0" w:space="0" w:color="auto"/>
          </w:divBdr>
        </w:div>
        <w:div w:id="1806586314">
          <w:marLeft w:val="0"/>
          <w:marRight w:val="0"/>
          <w:marTop w:val="0"/>
          <w:marBottom w:val="0"/>
          <w:divBdr>
            <w:top w:val="none" w:sz="0" w:space="0" w:color="auto"/>
            <w:left w:val="none" w:sz="0" w:space="0" w:color="auto"/>
            <w:bottom w:val="none" w:sz="0" w:space="0" w:color="auto"/>
            <w:right w:val="none" w:sz="0" w:space="0" w:color="auto"/>
          </w:divBdr>
        </w:div>
      </w:divsChild>
    </w:div>
    <w:div w:id="1516916275">
      <w:bodyDiv w:val="1"/>
      <w:marLeft w:val="0"/>
      <w:marRight w:val="0"/>
      <w:marTop w:val="0"/>
      <w:marBottom w:val="0"/>
      <w:divBdr>
        <w:top w:val="none" w:sz="0" w:space="0" w:color="auto"/>
        <w:left w:val="none" w:sz="0" w:space="0" w:color="auto"/>
        <w:bottom w:val="none" w:sz="0" w:space="0" w:color="auto"/>
        <w:right w:val="none" w:sz="0" w:space="0" w:color="auto"/>
      </w:divBdr>
    </w:div>
    <w:div w:id="1687902464">
      <w:bodyDiv w:val="1"/>
      <w:marLeft w:val="0"/>
      <w:marRight w:val="0"/>
      <w:marTop w:val="0"/>
      <w:marBottom w:val="0"/>
      <w:divBdr>
        <w:top w:val="none" w:sz="0" w:space="0" w:color="auto"/>
        <w:left w:val="none" w:sz="0" w:space="0" w:color="auto"/>
        <w:bottom w:val="none" w:sz="0" w:space="0" w:color="auto"/>
        <w:right w:val="none" w:sz="0" w:space="0" w:color="auto"/>
      </w:divBdr>
    </w:div>
    <w:div w:id="1789733383">
      <w:bodyDiv w:val="1"/>
      <w:marLeft w:val="0"/>
      <w:marRight w:val="0"/>
      <w:marTop w:val="0"/>
      <w:marBottom w:val="0"/>
      <w:divBdr>
        <w:top w:val="none" w:sz="0" w:space="0" w:color="auto"/>
        <w:left w:val="none" w:sz="0" w:space="0" w:color="auto"/>
        <w:bottom w:val="none" w:sz="0" w:space="0" w:color="auto"/>
        <w:right w:val="none" w:sz="0" w:space="0" w:color="auto"/>
      </w:divBdr>
      <w:divsChild>
        <w:div w:id="1224288832">
          <w:marLeft w:val="0"/>
          <w:marRight w:val="0"/>
          <w:marTop w:val="0"/>
          <w:marBottom w:val="0"/>
          <w:divBdr>
            <w:top w:val="none" w:sz="0" w:space="0" w:color="auto"/>
            <w:left w:val="none" w:sz="0" w:space="0" w:color="auto"/>
            <w:bottom w:val="none" w:sz="0" w:space="0" w:color="auto"/>
            <w:right w:val="none" w:sz="0" w:space="0" w:color="auto"/>
          </w:divBdr>
        </w:div>
        <w:div w:id="1527717475">
          <w:marLeft w:val="0"/>
          <w:marRight w:val="0"/>
          <w:marTop w:val="0"/>
          <w:marBottom w:val="0"/>
          <w:divBdr>
            <w:top w:val="none" w:sz="0" w:space="0" w:color="auto"/>
            <w:left w:val="none" w:sz="0" w:space="0" w:color="auto"/>
            <w:bottom w:val="none" w:sz="0" w:space="0" w:color="auto"/>
            <w:right w:val="none" w:sz="0" w:space="0" w:color="auto"/>
          </w:divBdr>
        </w:div>
        <w:div w:id="1533958001">
          <w:marLeft w:val="0"/>
          <w:marRight w:val="0"/>
          <w:marTop w:val="0"/>
          <w:marBottom w:val="0"/>
          <w:divBdr>
            <w:top w:val="none" w:sz="0" w:space="0" w:color="auto"/>
            <w:left w:val="none" w:sz="0" w:space="0" w:color="auto"/>
            <w:bottom w:val="none" w:sz="0" w:space="0" w:color="auto"/>
            <w:right w:val="none" w:sz="0" w:space="0" w:color="auto"/>
          </w:divBdr>
        </w:div>
        <w:div w:id="792485177">
          <w:marLeft w:val="0"/>
          <w:marRight w:val="0"/>
          <w:marTop w:val="0"/>
          <w:marBottom w:val="0"/>
          <w:divBdr>
            <w:top w:val="none" w:sz="0" w:space="0" w:color="auto"/>
            <w:left w:val="none" w:sz="0" w:space="0" w:color="auto"/>
            <w:bottom w:val="none" w:sz="0" w:space="0" w:color="auto"/>
            <w:right w:val="none" w:sz="0" w:space="0" w:color="auto"/>
          </w:divBdr>
        </w:div>
        <w:div w:id="1960838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Linda</dc:creator>
  <cp:keywords/>
  <dc:description/>
  <cp:lastModifiedBy>Torres, Annette</cp:lastModifiedBy>
  <cp:revision>5</cp:revision>
  <cp:lastPrinted>2018-03-20T18:59:00Z</cp:lastPrinted>
  <dcterms:created xsi:type="dcterms:W3CDTF">2018-02-27T19:18:00Z</dcterms:created>
  <dcterms:modified xsi:type="dcterms:W3CDTF">2018-03-20T19:12:00Z</dcterms:modified>
</cp:coreProperties>
</file>