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000000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5DFE4F0F" w14:textId="77777777" w:rsidR="009C034E" w:rsidRPr="001432B7" w:rsidRDefault="009C034E" w:rsidP="009C034E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5A35C62B" w14:textId="77777777" w:rsidR="00C7465B" w:rsidRDefault="009C034E" w:rsidP="00C7465B">
      <w:pPr>
        <w:pStyle w:val="BodyText"/>
        <w:ind w:left="-720" w:right="-720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 xml:space="preserve">Yale School of Medicine, Department of Internal Medicine, </w:t>
      </w:r>
    </w:p>
    <w:p w14:paraId="0BA02E7D" w14:textId="15BEF7D1" w:rsidR="009F6B30" w:rsidRDefault="00ED1309" w:rsidP="00C7465B">
      <w:pPr>
        <w:pStyle w:val="BodyText"/>
        <w:ind w:left="-720" w:right="-720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>Sectio</w:t>
      </w:r>
      <w:r w:rsidR="00091106" w:rsidRPr="00900898">
        <w:rPr>
          <w:rFonts w:ascii="Garamond" w:hAnsi="Garamond"/>
          <w:sz w:val="24"/>
          <w:szCs w:val="24"/>
        </w:rPr>
        <w:t>n of</w:t>
      </w:r>
      <w:r w:rsidR="009F6B30">
        <w:rPr>
          <w:rFonts w:ascii="Garamond" w:hAnsi="Garamond"/>
          <w:sz w:val="24"/>
          <w:szCs w:val="24"/>
        </w:rPr>
        <w:t xml:space="preserve"> </w:t>
      </w:r>
      <w:r w:rsidR="009F6B30" w:rsidRPr="009F6B30">
        <w:rPr>
          <w:rFonts w:ascii="Garamond" w:hAnsi="Garamond"/>
          <w:sz w:val="24"/>
          <w:szCs w:val="24"/>
        </w:rPr>
        <w:t>Pulmonary, Critical Care &amp; Sleep Medicine</w:t>
      </w:r>
    </w:p>
    <w:p w14:paraId="4B3B37FA" w14:textId="77777777" w:rsidR="009F6B30" w:rsidRDefault="009F6B30" w:rsidP="009F6B30">
      <w:pPr>
        <w:pStyle w:val="BodyText"/>
        <w:rPr>
          <w:rFonts w:ascii="Garamond" w:hAnsi="Garamond"/>
          <w:sz w:val="24"/>
          <w:szCs w:val="24"/>
        </w:rPr>
      </w:pPr>
    </w:p>
    <w:p w14:paraId="446B36FD" w14:textId="73E82AD1" w:rsidR="009F6B30" w:rsidRPr="00C7465B" w:rsidRDefault="009F6B30" w:rsidP="009F6B30">
      <w:pPr>
        <w:pStyle w:val="BodyText"/>
        <w:ind w:left="-432" w:right="-432"/>
        <w:rPr>
          <w:rFonts w:ascii="Garamond" w:hAnsi="Garamond"/>
          <w:sz w:val="28"/>
          <w:szCs w:val="28"/>
        </w:rPr>
      </w:pPr>
      <w:r w:rsidRPr="00C7465B">
        <w:rPr>
          <w:rFonts w:ascii="Garamond" w:hAnsi="Garamond"/>
          <w:sz w:val="28"/>
          <w:szCs w:val="28"/>
        </w:rPr>
        <w:t xml:space="preserve">The 9th Annual </w:t>
      </w:r>
      <w:proofErr w:type="spellStart"/>
      <w:r w:rsidRPr="00C7465B">
        <w:rPr>
          <w:rFonts w:ascii="Garamond" w:hAnsi="Garamond"/>
          <w:sz w:val="28"/>
          <w:szCs w:val="28"/>
        </w:rPr>
        <w:t>Annual</w:t>
      </w:r>
      <w:proofErr w:type="spellEnd"/>
      <w:r w:rsidRPr="00C7465B">
        <w:rPr>
          <w:rFonts w:ascii="Garamond" w:hAnsi="Garamond"/>
          <w:sz w:val="28"/>
          <w:szCs w:val="28"/>
        </w:rPr>
        <w:t xml:space="preserve"> Jack A. Elias Advances in Biomedical Sciences Lectureship</w:t>
      </w:r>
    </w:p>
    <w:p w14:paraId="12E3D070" w14:textId="77777777" w:rsidR="009F6B30" w:rsidRPr="009F6B30" w:rsidRDefault="009F6B30" w:rsidP="00900898">
      <w:pPr>
        <w:pStyle w:val="BodyText"/>
        <w:rPr>
          <w:rFonts w:ascii="Garamond" w:hAnsi="Garamond"/>
          <w:b w:val="0"/>
          <w:bCs/>
          <w:color w:val="0041D2"/>
          <w:sz w:val="84"/>
          <w:szCs w:val="84"/>
        </w:rPr>
      </w:pPr>
      <w:r w:rsidRPr="009F6B30">
        <w:rPr>
          <w:rFonts w:ascii="Garamond" w:hAnsi="Garamond"/>
          <w:b w:val="0"/>
          <w:bCs/>
          <w:color w:val="0041D2"/>
          <w:sz w:val="84"/>
          <w:szCs w:val="84"/>
        </w:rPr>
        <w:t>Erica L. Herzog, MD, PhD</w:t>
      </w:r>
    </w:p>
    <w:p w14:paraId="452192AE" w14:textId="74C2C08E" w:rsidR="009F6B30" w:rsidRPr="00C7465B" w:rsidRDefault="009F6B30" w:rsidP="009F6B30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C7465B">
        <w:rPr>
          <w:rFonts w:ascii="Garamond" w:hAnsi="Garamond"/>
          <w:b w:val="0"/>
          <w:bCs/>
          <w:sz w:val="24"/>
          <w:szCs w:val="24"/>
        </w:rPr>
        <w:t>John Slade Ely Professor of Medicine and Pathology, Associate Dean, Medical Student Research, and Director, Yale ILD Center of Excellence</w:t>
      </w:r>
    </w:p>
    <w:p w14:paraId="5044AF88" w14:textId="72139833" w:rsidR="009F6B30" w:rsidRPr="009F6B30" w:rsidRDefault="009F6B30" w:rsidP="00900898">
      <w:pPr>
        <w:pStyle w:val="BodyText"/>
        <w:rPr>
          <w:rFonts w:ascii="Garamond" w:hAnsi="Garamond"/>
          <w:b w:val="0"/>
          <w:bCs/>
          <w:color w:val="00B050"/>
          <w:sz w:val="72"/>
          <w:szCs w:val="72"/>
        </w:rPr>
        <w:sectPr w:rsidR="009F6B30" w:rsidRPr="009F6B30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6B30">
        <w:rPr>
          <w:rFonts w:ascii="Garamond" w:hAnsi="Garamond"/>
          <w:b w:val="0"/>
          <w:bCs/>
          <w:color w:val="00B050"/>
          <w:sz w:val="72"/>
          <w:szCs w:val="72"/>
        </w:rPr>
        <w:t>“</w:t>
      </w:r>
      <w:r w:rsidRPr="009F6B30">
        <w:rPr>
          <w:rFonts w:ascii="Garamond" w:hAnsi="Garamond"/>
          <w:b w:val="0"/>
          <w:bCs/>
          <w:color w:val="00B050"/>
          <w:sz w:val="72"/>
          <w:szCs w:val="72"/>
        </w:rPr>
        <w:t>Nerve-Lung Interactions in Pulmonary Fibrosis</w:t>
      </w:r>
      <w:r w:rsidRPr="009F6B30">
        <w:rPr>
          <w:rFonts w:ascii="Garamond" w:hAnsi="Garamond"/>
          <w:b w:val="0"/>
          <w:bCs/>
          <w:color w:val="00B050"/>
          <w:sz w:val="72"/>
          <w:szCs w:val="72"/>
        </w:rPr>
        <w:t>”</w:t>
      </w:r>
    </w:p>
    <w:p w14:paraId="7DC9784D" w14:textId="6600DC72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 w:rsidR="009F6B30">
        <w:rPr>
          <w:rFonts w:ascii="Garamond" w:eastAsiaTheme="minorHAnsi" w:hAnsi="Garamond"/>
          <w:b/>
          <w:bCs/>
          <w:color w:val="000000"/>
          <w:sz w:val="22"/>
          <w:szCs w:val="22"/>
        </w:rPr>
        <w:t>Dece</w:t>
      </w:r>
      <w:r w:rsidR="00900898">
        <w:rPr>
          <w:rFonts w:ascii="Garamond" w:eastAsiaTheme="minorHAnsi" w:hAnsi="Garamond"/>
          <w:b/>
          <w:bCs/>
          <w:color w:val="000000"/>
          <w:sz w:val="22"/>
          <w:szCs w:val="22"/>
        </w:rPr>
        <w:t>mber 22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1B543D07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09B5E37A" w14:textId="77777777" w:rsidR="00091106" w:rsidRPr="003F1364" w:rsidRDefault="00091106" w:rsidP="00091106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3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21E4800F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561196E4" w14:textId="2332B6E9" w:rsidR="00091106" w:rsidRPr="000E3FC8" w:rsidRDefault="00091106" w:rsidP="00091106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091106" w:rsidRPr="000E3FC8" w:rsidSect="00091106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</w:t>
      </w:r>
      <w:r w:rsidR="00900898">
        <w:rPr>
          <w:rFonts w:ascii="Garamond" w:eastAsia="Cambria" w:hAnsi="Garamond" w:cs="Arial"/>
          <w:b/>
          <w:bCs/>
          <w:iCs/>
          <w:sz w:val="22"/>
          <w:szCs w:val="22"/>
        </w:rPr>
        <w:t>33</w:t>
      </w:r>
      <w:r w:rsidR="009F6B30">
        <w:rPr>
          <w:rFonts w:ascii="Garamond" w:eastAsia="Cambria" w:hAnsi="Garamond" w:cs="Arial"/>
          <w:b/>
          <w:bCs/>
          <w:iCs/>
          <w:sz w:val="22"/>
          <w:szCs w:val="22"/>
        </w:rPr>
        <w:t>312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91106" w14:paraId="54062344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D681B1" w14:textId="77777777" w:rsidR="00091106" w:rsidRPr="009F6B30" w:rsidRDefault="00091106" w:rsidP="009F6B30">
            <w:pPr>
              <w:pStyle w:val="ListParagraph"/>
              <w:spacing w:before="120" w:after="120"/>
              <w:jc w:val="center"/>
              <w:rPr>
                <w:rFonts w:ascii="YaleNew" w:eastAsia="Cambria" w:hAnsi="YaleNew" w:cs="Arial"/>
                <w:u w:val="single"/>
              </w:rPr>
            </w:pPr>
            <w:r w:rsidRPr="009F6B30">
              <w:rPr>
                <w:rFonts w:ascii="YaleNew" w:eastAsia="Cambria" w:hAnsi="YaleNew" w:cs="Arial"/>
                <w:u w:val="single"/>
              </w:rPr>
              <w:t>Program Goal:</w:t>
            </w:r>
          </w:p>
          <w:p w14:paraId="7ECF3B03" w14:textId="0A3D4206" w:rsidR="009F6B30" w:rsidRPr="009F6B30" w:rsidRDefault="009F6B30" w:rsidP="009F6B30">
            <w:pPr>
              <w:pStyle w:val="ListParagraph"/>
              <w:numPr>
                <w:ilvl w:val="1"/>
                <w:numId w:val="1"/>
              </w:numPr>
              <w:ind w:left="792"/>
              <w:jc w:val="center"/>
              <w:rPr>
                <w:rFonts w:ascii="YaleNew" w:eastAsia="Cambria" w:hAnsi="YaleNew" w:cs="Arial"/>
                <w:noProof/>
                <w:color w:val="E7E6E6" w:themeColor="background2"/>
              </w:rPr>
            </w:pPr>
            <w:r w:rsidRPr="009F6B30">
              <w:rPr>
                <w:rFonts w:ascii="YaleNew" w:eastAsia="Cambria" w:hAnsi="YaleNew" w:cs="Arial"/>
                <w:b w:val="0"/>
                <w:bCs w:val="0"/>
                <w:noProof/>
                <w:color w:val="E7E6E6" w:themeColor="background2"/>
              </w:rPr>
              <w:t>Understand</w:t>
            </w:r>
            <w:r w:rsidRPr="009F6B30">
              <w:rPr>
                <w:rFonts w:ascii="YaleNew" w:eastAsia="Cambria" w:hAnsi="YaleNew" w:cs="Arial"/>
                <w:noProof/>
                <w:color w:val="E7E6E6" w:themeColor="background2"/>
              </w:rPr>
              <w:t xml:space="preserve"> the basic biology of nerve-lung interactions in pulmonary fibrosis</w:t>
            </w:r>
          </w:p>
          <w:p w14:paraId="6F17EAD5" w14:textId="54961147" w:rsidR="009F6B30" w:rsidRPr="009F6B30" w:rsidRDefault="009F6B30" w:rsidP="009F6B30">
            <w:pPr>
              <w:pStyle w:val="ListParagraph"/>
              <w:numPr>
                <w:ilvl w:val="1"/>
                <w:numId w:val="1"/>
              </w:numPr>
              <w:ind w:left="792"/>
              <w:jc w:val="center"/>
              <w:rPr>
                <w:rFonts w:ascii="YaleNew" w:eastAsia="Cambria" w:hAnsi="YaleNew" w:cs="Arial"/>
                <w:noProof/>
                <w:color w:val="E7E6E6" w:themeColor="background2"/>
              </w:rPr>
            </w:pPr>
            <w:r w:rsidRPr="009F6B30">
              <w:rPr>
                <w:rFonts w:ascii="YaleNew" w:eastAsia="Cambria" w:hAnsi="YaleNew" w:cs="Arial"/>
                <w:noProof/>
                <w:color w:val="E7E6E6" w:themeColor="background2"/>
              </w:rPr>
              <w:t>Understand the clinical implications of nerve-lung interactions in pulmonary fibrosis</w:t>
            </w:r>
          </w:p>
          <w:p w14:paraId="63872E3F" w14:textId="6164E688" w:rsidR="00091106" w:rsidRPr="009F6B30" w:rsidRDefault="009F6B30" w:rsidP="009F6B30">
            <w:pPr>
              <w:pStyle w:val="ListParagraph"/>
              <w:numPr>
                <w:ilvl w:val="1"/>
                <w:numId w:val="1"/>
              </w:numPr>
              <w:ind w:left="792"/>
              <w:jc w:val="center"/>
              <w:rPr>
                <w:rFonts w:ascii="YaleNew" w:eastAsia="Cambria" w:hAnsi="YaleNew" w:cs="Arial"/>
                <w:noProof/>
                <w:color w:val="E7E6E6" w:themeColor="background2"/>
              </w:rPr>
            </w:pPr>
            <w:r w:rsidRPr="009F6B30">
              <w:rPr>
                <w:rFonts w:ascii="YaleNew" w:eastAsia="Cambria" w:hAnsi="YaleNew" w:cs="Arial"/>
                <w:noProof/>
                <w:color w:val="E7E6E6" w:themeColor="background2"/>
              </w:rPr>
              <w:t>Understand the therapeutic potential of targeting nerve-lung interactions in pulmonary fibrosis</w:t>
            </w:r>
          </w:p>
        </w:tc>
      </w:tr>
      <w:tr w:rsidR="00091106" w14:paraId="7EA72081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83D5A0" w14:textId="77777777" w:rsidR="00091106" w:rsidRPr="007726A3" w:rsidRDefault="00091106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C96FCB5" w14:textId="77777777" w:rsidR="00091106" w:rsidRPr="007726A3" w:rsidRDefault="00091106" w:rsidP="009F6B30">
      <w:pPr>
        <w:spacing w:after="200"/>
        <w:rPr>
          <w:rFonts w:ascii="Garamond" w:eastAsia="Cambria" w:hAnsi="Garamond" w:cs="Arial"/>
          <w:i/>
          <w:sz w:val="16"/>
          <w:szCs w:val="16"/>
        </w:rPr>
      </w:pPr>
    </w:p>
    <w:p w14:paraId="776991BA" w14:textId="77777777" w:rsidR="00091106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900898" w14:paraId="5972884C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FA220B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0F8CE98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41A8BD1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Ineligible Company(s) / Nature of Relationship(s)</w:t>
            </w:r>
          </w:p>
        </w:tc>
      </w:tr>
      <w:tr w:rsidR="00900898" w14:paraId="7B2396F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9E3AE5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Nancy Kravitz, BS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EA50F0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Administrator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3F94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- 06/24/2022</w:t>
            </w:r>
          </w:p>
        </w:tc>
      </w:tr>
      <w:tr w:rsidR="00900898" w14:paraId="1F01727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F63C37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Roberta </w:t>
            </w:r>
            <w:proofErr w:type="spellStart"/>
            <w:r w:rsidRPr="00900898">
              <w:rPr>
                <w:bCs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14FAE7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Coordinator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8E5B29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- 06/17/2022</w:t>
            </w:r>
          </w:p>
        </w:tc>
      </w:tr>
      <w:tr w:rsidR="00900898" w14:paraId="68BC733D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5914C2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Peter Aronson,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2240104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Co-Director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479F71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Honoraria-Janssen (Relationship has ended) - 07/05/2022</w:t>
            </w:r>
          </w:p>
        </w:tc>
      </w:tr>
      <w:tr w:rsidR="00900898" w14:paraId="3CDAA5B0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9DDD0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Vincent J. </w:t>
            </w:r>
            <w:proofErr w:type="spellStart"/>
            <w:r w:rsidRPr="00900898">
              <w:rPr>
                <w:bCs/>
                <w:sz w:val="13"/>
                <w:szCs w:val="13"/>
              </w:rPr>
              <w:t>Quagliarello</w:t>
            </w:r>
            <w:proofErr w:type="spellEnd"/>
            <w:r w:rsidRPr="00900898">
              <w:rPr>
                <w:bCs/>
                <w:sz w:val="13"/>
                <w:szCs w:val="13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33619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Course 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7000C7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- 06/16/2022</w:t>
            </w:r>
          </w:p>
        </w:tc>
      </w:tr>
      <w:tr w:rsidR="009F6B30" w14:paraId="31B38B9D" w14:textId="77777777" w:rsidTr="00E75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6F111" w14:textId="77777777" w:rsidR="009F6B30" w:rsidRPr="009F6B30" w:rsidRDefault="009F6B30" w:rsidP="00E75CC1">
            <w:pPr>
              <w:rPr>
                <w:rFonts w:ascii="Garamond" w:hAnsi="Garamond"/>
                <w:sz w:val="13"/>
                <w:szCs w:val="13"/>
              </w:rPr>
            </w:pPr>
            <w:r w:rsidRPr="009F6B30">
              <w:rPr>
                <w:rFonts w:ascii="Garamond" w:hAnsi="Garamond"/>
                <w:sz w:val="13"/>
                <w:szCs w:val="13"/>
              </w:rPr>
              <w:t>Erica Herzog,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B05E5" w14:textId="77777777" w:rsidR="009F6B30" w:rsidRPr="009F6B30" w:rsidRDefault="009F6B30" w:rsidP="00E75CC1">
            <w:pPr>
              <w:rPr>
                <w:rFonts w:ascii="Garamond" w:hAnsi="Garamond"/>
                <w:sz w:val="13"/>
                <w:szCs w:val="13"/>
              </w:rPr>
            </w:pPr>
            <w:r w:rsidRPr="009F6B30">
              <w:rPr>
                <w:rFonts w:ascii="Garamond" w:hAnsi="Garamond"/>
                <w:sz w:val="13"/>
                <w:szCs w:val="13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E1189" w14:textId="77777777" w:rsidR="009F6B30" w:rsidRPr="009F6B30" w:rsidRDefault="009F6B30" w:rsidP="00E75CC1">
            <w:pPr>
              <w:rPr>
                <w:rFonts w:ascii="Garamond" w:hAnsi="Garamond"/>
                <w:sz w:val="13"/>
                <w:szCs w:val="13"/>
              </w:rPr>
            </w:pPr>
            <w:r w:rsidRPr="009F6B30">
              <w:rPr>
                <w:rFonts w:ascii="Garamond" w:hAnsi="Garamond"/>
                <w:sz w:val="13"/>
                <w:szCs w:val="13"/>
              </w:rPr>
              <w:t xml:space="preserve">Consulting Fee-Boehringer Ingelheim (Relationship has </w:t>
            </w:r>
            <w:proofErr w:type="gramStart"/>
            <w:r w:rsidRPr="009F6B30">
              <w:rPr>
                <w:rFonts w:ascii="Garamond" w:hAnsi="Garamond"/>
                <w:sz w:val="13"/>
                <w:szCs w:val="13"/>
              </w:rPr>
              <w:t>ended)|</w:t>
            </w:r>
            <w:proofErr w:type="gramEnd"/>
            <w:r w:rsidRPr="009F6B30">
              <w:rPr>
                <w:rFonts w:ascii="Garamond" w:hAnsi="Garamond"/>
                <w:sz w:val="13"/>
                <w:szCs w:val="13"/>
              </w:rPr>
              <w:t xml:space="preserve">Consulting Fee-Janssen (Relationship has ended)|Grant or research support-Bristol Myers </w:t>
            </w:r>
            <w:proofErr w:type="spellStart"/>
            <w:r w:rsidRPr="009F6B30">
              <w:rPr>
                <w:rFonts w:ascii="Garamond" w:hAnsi="Garamond"/>
                <w:sz w:val="13"/>
                <w:szCs w:val="13"/>
              </w:rPr>
              <w:t>Squibb|Grant</w:t>
            </w:r>
            <w:proofErr w:type="spellEnd"/>
            <w:r w:rsidRPr="009F6B30">
              <w:rPr>
                <w:rFonts w:ascii="Garamond" w:hAnsi="Garamond"/>
                <w:sz w:val="13"/>
                <w:szCs w:val="13"/>
              </w:rPr>
              <w:t xml:space="preserve"> or research support-Sanofi (Relationship has ended) - 10/25/2022</w:t>
            </w:r>
          </w:p>
        </w:tc>
      </w:tr>
    </w:tbl>
    <w:p w14:paraId="2F4E4D57" w14:textId="77777777" w:rsidR="00091106" w:rsidRPr="007726A3" w:rsidRDefault="00091106" w:rsidP="009F6B30">
      <w:pPr>
        <w:spacing w:after="120"/>
        <w:rPr>
          <w:rFonts w:ascii="Garamond" w:eastAsia="Cambria" w:hAnsi="Garamond" w:cs="Arial"/>
          <w:i/>
          <w:sz w:val="16"/>
          <w:szCs w:val="16"/>
        </w:rPr>
      </w:pPr>
    </w:p>
    <w:p w14:paraId="69F9C4C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1BE72AF3" w14:textId="6EF31D07" w:rsidR="0043024C" w:rsidRPr="009F6B30" w:rsidRDefault="00091106" w:rsidP="009F6B30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  <w:r w:rsidR="009F6B30">
        <w:rPr>
          <w:rFonts w:ascii="Garamond" w:eastAsia="Cambria" w:hAnsi="Garamond" w:cs="Arial"/>
          <w:i/>
          <w:sz w:val="16"/>
          <w:szCs w:val="16"/>
        </w:rPr>
        <w:t xml:space="preserve">  </w:t>
      </w:r>
      <w:r w:rsidR="009F6B30"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15" w:history="1">
        <w:r w:rsidR="009F6B30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sectPr w:rsidR="0043024C" w:rsidRPr="009F6B3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C0A6" w14:textId="77777777" w:rsidR="006E530D" w:rsidRDefault="006E530D">
      <w:r>
        <w:separator/>
      </w:r>
    </w:p>
  </w:endnote>
  <w:endnote w:type="continuationSeparator" w:id="0">
    <w:p w14:paraId="37E3817A" w14:textId="77777777" w:rsidR="006E530D" w:rsidRDefault="006E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"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79D4" w14:textId="77777777" w:rsidR="006E530D" w:rsidRDefault="006E530D">
      <w:r>
        <w:separator/>
      </w:r>
    </w:p>
  </w:footnote>
  <w:footnote w:type="continuationSeparator" w:id="0">
    <w:p w14:paraId="27EB2F97" w14:textId="77777777" w:rsidR="006E530D" w:rsidRDefault="006E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1AEA"/>
    <w:multiLevelType w:val="hybridMultilevel"/>
    <w:tmpl w:val="F600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C4C612">
      <w:start w:val="1"/>
      <w:numFmt w:val="decimal"/>
      <w:lvlText w:val="%2."/>
      <w:lvlJc w:val="left"/>
      <w:pPr>
        <w:ind w:left="1440" w:hanging="360"/>
      </w:pPr>
      <w:rPr>
        <w:rFonts w:ascii="YaleNew" w:eastAsia="Cambria" w:hAnsi="YaleNew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5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91106"/>
    <w:rsid w:val="000B78E6"/>
    <w:rsid w:val="00123D67"/>
    <w:rsid w:val="001E56AB"/>
    <w:rsid w:val="001F5299"/>
    <w:rsid w:val="00350B09"/>
    <w:rsid w:val="003D2111"/>
    <w:rsid w:val="003D4FF8"/>
    <w:rsid w:val="00416E12"/>
    <w:rsid w:val="0043024C"/>
    <w:rsid w:val="00466E0C"/>
    <w:rsid w:val="00507134"/>
    <w:rsid w:val="0053731E"/>
    <w:rsid w:val="0061546C"/>
    <w:rsid w:val="00627A8F"/>
    <w:rsid w:val="00695954"/>
    <w:rsid w:val="006C34BC"/>
    <w:rsid w:val="006D17A9"/>
    <w:rsid w:val="006E530D"/>
    <w:rsid w:val="007C73F5"/>
    <w:rsid w:val="00800E92"/>
    <w:rsid w:val="0084276D"/>
    <w:rsid w:val="00863F19"/>
    <w:rsid w:val="008F2009"/>
    <w:rsid w:val="00900898"/>
    <w:rsid w:val="0096202B"/>
    <w:rsid w:val="009C034E"/>
    <w:rsid w:val="009F6B30"/>
    <w:rsid w:val="00A31F5E"/>
    <w:rsid w:val="00A87E2D"/>
    <w:rsid w:val="00BA3D06"/>
    <w:rsid w:val="00C45E3A"/>
    <w:rsid w:val="00C7465B"/>
    <w:rsid w:val="00CD16E1"/>
    <w:rsid w:val="00EC3A7D"/>
    <w:rsid w:val="00ED1309"/>
    <w:rsid w:val="00ED3AF7"/>
    <w:rsid w:val="00F245D9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yale.zoom.us/j/9446352543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oberta.biceglia@yale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cp:lastPrinted>2021-08-18T18:25:00Z</cp:lastPrinted>
  <dcterms:created xsi:type="dcterms:W3CDTF">2022-11-01T16:00:00Z</dcterms:created>
  <dcterms:modified xsi:type="dcterms:W3CDTF">2022-11-01T16:09:00Z</dcterms:modified>
</cp:coreProperties>
</file>