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2F3F4F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0EA4CF2D" w14:textId="38072372" w:rsidR="00091106" w:rsidRDefault="009C034E" w:rsidP="00900898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  <w:r w:rsidR="00ED1309"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>n of</w:t>
      </w:r>
      <w:r w:rsidR="00900898">
        <w:rPr>
          <w:rFonts w:ascii="Garamond" w:hAnsi="Garamond"/>
          <w:sz w:val="24"/>
          <w:szCs w:val="24"/>
        </w:rPr>
        <w:t xml:space="preserve"> </w:t>
      </w:r>
      <w:r w:rsidR="00BF737A">
        <w:rPr>
          <w:rFonts w:ascii="Garamond" w:hAnsi="Garamond"/>
          <w:sz w:val="24"/>
          <w:szCs w:val="24"/>
        </w:rPr>
        <w:t>Hematology</w:t>
      </w:r>
    </w:p>
    <w:p w14:paraId="7B0D0F3D" w14:textId="77777777" w:rsidR="00873191" w:rsidRDefault="00873191" w:rsidP="00900898">
      <w:pPr>
        <w:pStyle w:val="BodyText"/>
        <w:rPr>
          <w:rFonts w:ascii="Garamond" w:hAnsi="Garamond"/>
          <w:sz w:val="40"/>
          <w:szCs w:val="40"/>
        </w:rPr>
      </w:pPr>
      <w:r w:rsidRPr="00873191">
        <w:rPr>
          <w:rFonts w:ascii="Garamond" w:hAnsi="Garamond"/>
          <w:sz w:val="40"/>
          <w:szCs w:val="40"/>
        </w:rPr>
        <w:t xml:space="preserve">The </w:t>
      </w:r>
      <w:r w:rsidRPr="00873191">
        <w:rPr>
          <w:rFonts w:ascii="Garamond" w:hAnsi="Garamond"/>
          <w:sz w:val="40"/>
          <w:szCs w:val="40"/>
        </w:rPr>
        <w:t xml:space="preserve">2nd Century of Women at Yale: </w:t>
      </w:r>
    </w:p>
    <w:p w14:paraId="04E78ECE" w14:textId="6F35B927" w:rsidR="00873191" w:rsidRPr="00873191" w:rsidRDefault="00873191" w:rsidP="00900898">
      <w:pPr>
        <w:pStyle w:val="BodyText"/>
        <w:rPr>
          <w:rFonts w:ascii="Garamond" w:hAnsi="Garamond"/>
          <w:sz w:val="40"/>
          <w:szCs w:val="40"/>
        </w:rPr>
      </w:pPr>
      <w:r w:rsidRPr="00873191">
        <w:rPr>
          <w:rFonts w:ascii="Garamond" w:hAnsi="Garamond"/>
          <w:sz w:val="40"/>
          <w:szCs w:val="40"/>
        </w:rPr>
        <w:t>Emerging Leaders in Internal Medicine</w:t>
      </w:r>
    </w:p>
    <w:p w14:paraId="629998BE" w14:textId="776A3CEF" w:rsidR="00BF737A" w:rsidRPr="00BF737A" w:rsidRDefault="00BF737A" w:rsidP="00BF737A">
      <w:pPr>
        <w:pStyle w:val="BodyText"/>
        <w:rPr>
          <w:rFonts w:ascii="Garamond" w:hAnsi="Garamond"/>
          <w:b w:val="0"/>
          <w:bCs/>
          <w:color w:val="0035AC"/>
          <w:sz w:val="96"/>
          <w:szCs w:val="96"/>
        </w:rPr>
      </w:pPr>
      <w:r w:rsidRPr="00BF737A">
        <w:rPr>
          <w:rFonts w:ascii="Garamond" w:hAnsi="Garamond"/>
          <w:b w:val="0"/>
          <w:bCs/>
          <w:color w:val="0035AC"/>
          <w:sz w:val="96"/>
          <w:szCs w:val="96"/>
        </w:rPr>
        <w:t xml:space="preserve">Stephanie </w:t>
      </w:r>
      <w:proofErr w:type="spellStart"/>
      <w:r w:rsidRPr="00BF737A">
        <w:rPr>
          <w:rFonts w:ascii="Garamond" w:hAnsi="Garamond"/>
          <w:b w:val="0"/>
          <w:bCs/>
          <w:color w:val="0035AC"/>
          <w:sz w:val="96"/>
          <w:szCs w:val="96"/>
        </w:rPr>
        <w:t>Halene</w:t>
      </w:r>
      <w:proofErr w:type="spellEnd"/>
      <w:r w:rsidRPr="00BF737A">
        <w:rPr>
          <w:rFonts w:ascii="Garamond" w:hAnsi="Garamond"/>
          <w:b w:val="0"/>
          <w:bCs/>
          <w:color w:val="0035AC"/>
          <w:sz w:val="96"/>
          <w:szCs w:val="96"/>
        </w:rPr>
        <w:t>, MD</w:t>
      </w:r>
    </w:p>
    <w:p w14:paraId="3985A89C" w14:textId="77777777" w:rsidR="00BF737A" w:rsidRPr="00BF737A" w:rsidRDefault="00BF737A" w:rsidP="00BF737A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BF737A">
        <w:rPr>
          <w:rFonts w:ascii="Garamond" w:hAnsi="Garamond"/>
          <w:b w:val="0"/>
          <w:bCs/>
          <w:sz w:val="24"/>
          <w:szCs w:val="24"/>
        </w:rPr>
        <w:t>Arthur H. and Isabel Bunker Associate Professor of Hematology</w:t>
      </w:r>
    </w:p>
    <w:p w14:paraId="0648F3FE" w14:textId="12D13A74" w:rsidR="00BF737A" w:rsidRPr="00BF737A" w:rsidRDefault="00BF737A" w:rsidP="00BF737A">
      <w:pPr>
        <w:pStyle w:val="BodyText"/>
        <w:rPr>
          <w:rFonts w:ascii="Garamond" w:hAnsi="Garamond"/>
          <w:b w:val="0"/>
          <w:bCs/>
          <w:sz w:val="24"/>
          <w:szCs w:val="24"/>
        </w:rPr>
      </w:pPr>
      <w:r w:rsidRPr="00BF737A">
        <w:rPr>
          <w:rFonts w:ascii="Garamond" w:hAnsi="Garamond"/>
          <w:b w:val="0"/>
          <w:bCs/>
          <w:sz w:val="24"/>
          <w:szCs w:val="24"/>
        </w:rPr>
        <w:t>Chief, Section of Hematology</w:t>
      </w:r>
      <w:r>
        <w:rPr>
          <w:rFonts w:ascii="Garamond" w:hAnsi="Garamond"/>
          <w:b w:val="0"/>
          <w:bCs/>
          <w:sz w:val="24"/>
          <w:szCs w:val="24"/>
        </w:rPr>
        <w:t xml:space="preserve">, </w:t>
      </w:r>
      <w:r w:rsidRPr="00BF737A">
        <w:rPr>
          <w:rFonts w:ascii="Garamond" w:hAnsi="Garamond"/>
          <w:b w:val="0"/>
          <w:bCs/>
          <w:sz w:val="24"/>
          <w:szCs w:val="24"/>
        </w:rPr>
        <w:t xml:space="preserve">Department of Internal </w:t>
      </w:r>
      <w:proofErr w:type="gramStart"/>
      <w:r w:rsidRPr="00BF737A">
        <w:rPr>
          <w:rFonts w:ascii="Garamond" w:hAnsi="Garamond"/>
          <w:b w:val="0"/>
          <w:bCs/>
          <w:sz w:val="24"/>
          <w:szCs w:val="24"/>
        </w:rPr>
        <w:t>Medicine</w:t>
      </w:r>
      <w:proofErr w:type="gramEnd"/>
      <w:r w:rsidRPr="00BF737A">
        <w:rPr>
          <w:rFonts w:ascii="Garamond" w:hAnsi="Garamond"/>
          <w:b w:val="0"/>
          <w:bCs/>
          <w:sz w:val="24"/>
          <w:szCs w:val="24"/>
        </w:rPr>
        <w:t xml:space="preserve"> and Yale Cancer Center</w:t>
      </w:r>
    </w:p>
    <w:p w14:paraId="71317F98" w14:textId="77777777" w:rsidR="00BF737A" w:rsidRPr="00BF737A" w:rsidRDefault="00BF737A" w:rsidP="002A6730">
      <w:pPr>
        <w:pStyle w:val="BodyText"/>
        <w:ind w:left="-576" w:right="-576"/>
        <w:rPr>
          <w:rFonts w:ascii="Garamond" w:hAnsi="Garamond"/>
          <w:b w:val="0"/>
          <w:bCs/>
          <w:color w:val="00B050"/>
          <w:sz w:val="72"/>
          <w:szCs w:val="72"/>
        </w:rPr>
      </w:pPr>
      <w:r w:rsidRPr="00BF737A">
        <w:rPr>
          <w:rFonts w:ascii="Garamond" w:hAnsi="Garamond"/>
          <w:b w:val="0"/>
          <w:bCs/>
          <w:color w:val="00B050"/>
          <w:sz w:val="72"/>
          <w:szCs w:val="72"/>
        </w:rPr>
        <w:t xml:space="preserve">“RNA Regulators in Hematopoiesis </w:t>
      </w:r>
    </w:p>
    <w:p w14:paraId="20F9A51D" w14:textId="7FBC2DAF" w:rsidR="00BF737A" w:rsidRPr="00BF737A" w:rsidRDefault="00BF737A" w:rsidP="002A6730">
      <w:pPr>
        <w:pStyle w:val="BodyText"/>
        <w:ind w:left="-576" w:right="-576"/>
        <w:rPr>
          <w:rFonts w:ascii="Garamond" w:hAnsi="Garamond"/>
          <w:b w:val="0"/>
          <w:bCs/>
          <w:color w:val="00B050"/>
          <w:sz w:val="72"/>
          <w:szCs w:val="72"/>
        </w:rPr>
      </w:pPr>
      <w:r w:rsidRPr="00BF737A">
        <w:rPr>
          <w:rFonts w:ascii="Garamond" w:hAnsi="Garamond"/>
          <w:b w:val="0"/>
          <w:bCs/>
          <w:color w:val="00B050"/>
          <w:sz w:val="72"/>
          <w:szCs w:val="72"/>
        </w:rPr>
        <w:t>and Myelodysplasia”</w:t>
      </w:r>
    </w:p>
    <w:p w14:paraId="5044AF88" w14:textId="17974332" w:rsidR="00BF737A" w:rsidRPr="00BF737A" w:rsidRDefault="00BF737A" w:rsidP="00BF737A">
      <w:pPr>
        <w:pStyle w:val="BodyText"/>
        <w:rPr>
          <w:rFonts w:ascii="Garamond" w:hAnsi="Garamond"/>
          <w:b w:val="0"/>
          <w:bCs/>
          <w:color w:val="00B050"/>
          <w:sz w:val="24"/>
          <w:szCs w:val="24"/>
        </w:rPr>
        <w:sectPr w:rsidR="00BF737A" w:rsidRPr="00BF737A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E20F70" w14:textId="77777777" w:rsidR="001E3288" w:rsidRDefault="001E3288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7DC9784D" w14:textId="54E0E5F0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BF737A">
        <w:rPr>
          <w:rFonts w:ascii="Garamond" w:eastAsiaTheme="minorHAnsi" w:hAnsi="Garamond"/>
          <w:b/>
          <w:bCs/>
          <w:color w:val="000000"/>
          <w:sz w:val="22"/>
          <w:szCs w:val="22"/>
        </w:rPr>
        <w:t>October 20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21E4800F" w14:textId="3F0EA3F3" w:rsidR="00091106" w:rsidRPr="00873191" w:rsidRDefault="00091106" w:rsidP="00873191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2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561196E4" w14:textId="4D05292E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</w:t>
      </w:r>
      <w:r w:rsidR="00BF737A">
        <w:rPr>
          <w:rFonts w:ascii="Garamond" w:eastAsia="Cambria" w:hAnsi="Garamond" w:cs="Arial"/>
          <w:b/>
          <w:bCs/>
          <w:iCs/>
          <w:sz w:val="22"/>
          <w:szCs w:val="22"/>
        </w:rPr>
        <w:t>3303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77777777" w:rsidR="00091106" w:rsidRPr="007726A3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62509EDF" w14:textId="56A113AB" w:rsidR="00BF737A" w:rsidRPr="00BF737A" w:rsidRDefault="00BF737A" w:rsidP="00BF737A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BF737A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1. Review the pathophysiology of myelodysplastic syndromes (MDS)</w:t>
            </w:r>
          </w:p>
          <w:p w14:paraId="49EBC826" w14:textId="7C7C6826" w:rsidR="00BF737A" w:rsidRPr="00BF737A" w:rsidRDefault="00BF737A" w:rsidP="00BF737A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BF737A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2. Understand the role of RNA regulators in hematopoiesis and MDS</w:t>
            </w:r>
          </w:p>
          <w:p w14:paraId="63872E3F" w14:textId="670401AC" w:rsidR="00091106" w:rsidRPr="00BF737A" w:rsidRDefault="00BF737A" w:rsidP="00BF737A">
            <w:pPr>
              <w:jc w:val="center"/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</w:pPr>
            <w:r w:rsidRPr="00BF737A">
              <w:rPr>
                <w:rFonts w:ascii="Garamond" w:eastAsia="Cambria" w:hAnsi="Garamond" w:cs="Arial"/>
                <w:b w:val="0"/>
                <w:bCs w:val="0"/>
                <w:noProof/>
                <w:color w:val="E7E6E6" w:themeColor="background2"/>
              </w:rPr>
              <w:t>3. Explore novel therapeutic pathways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873191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BF737A">
        <w:trPr>
          <w:trHeight w:val="17"/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900898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648DCB9F" w:rsidR="00900898" w:rsidRPr="00900898" w:rsidRDefault="00BF737A" w:rsidP="00900898">
            <w:pPr>
              <w:jc w:val="center"/>
              <w:rPr>
                <w:bCs/>
                <w:sz w:val="13"/>
                <w:szCs w:val="13"/>
              </w:rPr>
            </w:pPr>
            <w:r w:rsidRPr="00BF737A">
              <w:rPr>
                <w:bCs/>
                <w:sz w:val="13"/>
                <w:szCs w:val="13"/>
              </w:rPr>
              <w:t xml:space="preserve">Stephanie </w:t>
            </w:r>
            <w:proofErr w:type="spellStart"/>
            <w:r w:rsidRPr="00BF737A">
              <w:rPr>
                <w:bCs/>
                <w:sz w:val="13"/>
                <w:szCs w:val="13"/>
              </w:rPr>
              <w:t>Halene</w:t>
            </w:r>
            <w:proofErr w:type="spellEnd"/>
            <w:r w:rsidRPr="00BF737A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687DB08A" w:rsidR="00900898" w:rsidRPr="00900898" w:rsidRDefault="00BF737A" w:rsidP="00900898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1A5004BF" w:rsidR="00900898" w:rsidRPr="00900898" w:rsidRDefault="00BF737A" w:rsidP="00900898">
            <w:pPr>
              <w:jc w:val="center"/>
              <w:rPr>
                <w:bCs/>
                <w:sz w:val="13"/>
                <w:szCs w:val="13"/>
              </w:rPr>
            </w:pPr>
            <w:r w:rsidRPr="00BF737A">
              <w:rPr>
                <w:bCs/>
                <w:sz w:val="13"/>
                <w:szCs w:val="13"/>
              </w:rPr>
              <w:t>Consulting Fee-</w:t>
            </w:r>
            <w:proofErr w:type="spellStart"/>
            <w:r w:rsidRPr="00BF737A">
              <w:rPr>
                <w:bCs/>
                <w:sz w:val="13"/>
                <w:szCs w:val="13"/>
              </w:rPr>
              <w:t>FORMATherapeutics</w:t>
            </w:r>
            <w:proofErr w:type="spellEnd"/>
            <w:r w:rsidRPr="00BF737A">
              <w:rPr>
                <w:bCs/>
                <w:sz w:val="13"/>
                <w:szCs w:val="13"/>
              </w:rPr>
              <w:t xml:space="preserve"> (Relationship has </w:t>
            </w:r>
            <w:proofErr w:type="gramStart"/>
            <w:r w:rsidRPr="00BF737A">
              <w:rPr>
                <w:bCs/>
                <w:sz w:val="13"/>
                <w:szCs w:val="13"/>
              </w:rPr>
              <w:t>ended)|</w:t>
            </w:r>
            <w:proofErr w:type="gramEnd"/>
            <w:r w:rsidRPr="00BF737A">
              <w:rPr>
                <w:bCs/>
                <w:sz w:val="13"/>
                <w:szCs w:val="13"/>
              </w:rPr>
              <w:t>Grant or research support-STORM Therapeutics - 09/01/2022</w:t>
            </w: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7DEE7E0D" w14:textId="3BA46B65" w:rsidR="00BF737A" w:rsidRPr="00873191" w:rsidRDefault="00091106" w:rsidP="00873191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  <w:r w:rsidR="00873191">
        <w:rPr>
          <w:rFonts w:ascii="Garamond" w:eastAsia="Cambria" w:hAnsi="Garamond" w:cs="Arial"/>
          <w:i/>
          <w:sz w:val="16"/>
          <w:szCs w:val="16"/>
        </w:rPr>
        <w:t xml:space="preserve"> </w:t>
      </w:r>
      <w:proofErr w:type="gramStart"/>
      <w:r w:rsidRPr="007726A3">
        <w:rPr>
          <w:rFonts w:ascii="Garamond" w:eastAsia="Cambria" w:hAnsi="Garamond" w:cs="Arial"/>
          <w:b/>
          <w:bCs/>
          <w:sz w:val="22"/>
          <w:szCs w:val="22"/>
        </w:rPr>
        <w:t>For</w:t>
      </w:r>
      <w:proofErr w:type="gramEnd"/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 questions, email </w:t>
      </w:r>
      <w:hyperlink r:id="rId14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sectPr w:rsidR="00BF737A" w:rsidRPr="00873191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EF6F" w14:textId="77777777" w:rsidR="002F3F4F" w:rsidRDefault="002F3F4F">
      <w:r>
        <w:separator/>
      </w:r>
    </w:p>
  </w:endnote>
  <w:endnote w:type="continuationSeparator" w:id="0">
    <w:p w14:paraId="0B1BACC2" w14:textId="77777777" w:rsidR="002F3F4F" w:rsidRDefault="002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378E" w14:textId="77777777" w:rsidR="002F3F4F" w:rsidRDefault="002F3F4F">
      <w:r>
        <w:separator/>
      </w:r>
    </w:p>
  </w:footnote>
  <w:footnote w:type="continuationSeparator" w:id="0">
    <w:p w14:paraId="12B75DCE" w14:textId="77777777" w:rsidR="002F3F4F" w:rsidRDefault="002F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E3288"/>
    <w:rsid w:val="001E56AB"/>
    <w:rsid w:val="001F5299"/>
    <w:rsid w:val="002240A5"/>
    <w:rsid w:val="002A6730"/>
    <w:rsid w:val="002F3F4F"/>
    <w:rsid w:val="00350B09"/>
    <w:rsid w:val="003D2111"/>
    <w:rsid w:val="003D4FF8"/>
    <w:rsid w:val="00416E12"/>
    <w:rsid w:val="0043024C"/>
    <w:rsid w:val="00466E0C"/>
    <w:rsid w:val="00507134"/>
    <w:rsid w:val="0053731E"/>
    <w:rsid w:val="005716B0"/>
    <w:rsid w:val="00627A8F"/>
    <w:rsid w:val="00695954"/>
    <w:rsid w:val="006C34BC"/>
    <w:rsid w:val="006D17A9"/>
    <w:rsid w:val="007C73F5"/>
    <w:rsid w:val="00800E92"/>
    <w:rsid w:val="0084276D"/>
    <w:rsid w:val="00863F19"/>
    <w:rsid w:val="00873191"/>
    <w:rsid w:val="008F2009"/>
    <w:rsid w:val="00900898"/>
    <w:rsid w:val="0096202B"/>
    <w:rsid w:val="009C034E"/>
    <w:rsid w:val="00A31F5E"/>
    <w:rsid w:val="00A87E2D"/>
    <w:rsid w:val="00BA3D06"/>
    <w:rsid w:val="00BF737A"/>
    <w:rsid w:val="00C45E3A"/>
    <w:rsid w:val="00CD16E1"/>
    <w:rsid w:val="00EC3A7D"/>
    <w:rsid w:val="00ED1309"/>
    <w:rsid w:val="00ED3AF7"/>
    <w:rsid w:val="00F245D9"/>
    <w:rsid w:val="00F3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yale.zoom.us/j/944635254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roberta.biceglia@yal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5</cp:revision>
  <cp:lastPrinted>2021-08-18T18:25:00Z</cp:lastPrinted>
  <dcterms:created xsi:type="dcterms:W3CDTF">2022-09-02T11:46:00Z</dcterms:created>
  <dcterms:modified xsi:type="dcterms:W3CDTF">2022-09-26T12:55:00Z</dcterms:modified>
</cp:coreProperties>
</file>