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9B74E4" w:rsidRPr="0015060F" w:rsidRDefault="002D442B" w:rsidP="009B74E4">
      <w:pPr>
        <w:pStyle w:val="Pa6"/>
        <w:spacing w:after="40"/>
        <w:jc w:val="center"/>
        <w:rPr>
          <w:rFonts w:ascii="Times New Roman" w:hAnsi="Times New Roman" w:cs="Times New Roman"/>
          <w:b/>
          <w:color w:val="FF0000"/>
          <w:sz w:val="32"/>
          <w:szCs w:val="32"/>
        </w:rPr>
      </w:pPr>
      <w:r w:rsidRPr="0015060F">
        <w:rPr>
          <w:rFonts w:ascii="Times New Roman" w:hAnsi="Times New Roman" w:cs="Times New Roman"/>
          <w:b/>
          <w:color w:val="FF0000"/>
          <w:sz w:val="32"/>
        </w:rPr>
        <w:t>“</w:t>
      </w:r>
      <w:r w:rsidR="009B74E4" w:rsidRPr="0015060F">
        <w:rPr>
          <w:rStyle w:val="A5"/>
          <w:rFonts w:ascii="Times New Roman" w:hAnsi="Times New Roman" w:cs="Times New Roman"/>
          <w:b w:val="0"/>
          <w:bCs w:val="0"/>
          <w:color w:val="FF0000"/>
          <w:sz w:val="32"/>
          <w:szCs w:val="32"/>
        </w:rPr>
        <w:t xml:space="preserve">The </w:t>
      </w:r>
      <w:r w:rsidR="009B74E4" w:rsidRPr="0015060F">
        <w:rPr>
          <w:rStyle w:val="A5"/>
          <w:rFonts w:ascii="Times New Roman" w:hAnsi="Times New Roman" w:cs="Times New Roman"/>
          <w:color w:val="FF0000"/>
          <w:sz w:val="32"/>
          <w:szCs w:val="32"/>
        </w:rPr>
        <w:t>CONNECTION</w:t>
      </w:r>
      <w:r w:rsidR="009B74E4" w:rsidRPr="0015060F">
        <w:rPr>
          <w:rStyle w:val="A5"/>
          <w:rFonts w:ascii="Times New Roman" w:hAnsi="Times New Roman" w:cs="Times New Roman"/>
          <w:b w:val="0"/>
          <w:color w:val="FF0000"/>
          <w:sz w:val="32"/>
          <w:szCs w:val="32"/>
        </w:rPr>
        <w:t xml:space="preserve"> </w:t>
      </w:r>
      <w:r w:rsidR="009B74E4" w:rsidRPr="0015060F">
        <w:rPr>
          <w:rStyle w:val="A5"/>
          <w:rFonts w:ascii="Times New Roman" w:hAnsi="Times New Roman" w:cs="Times New Roman"/>
          <w:b w:val="0"/>
          <w:bCs w:val="0"/>
          <w:color w:val="FF0000"/>
          <w:sz w:val="32"/>
          <w:szCs w:val="32"/>
        </w:rPr>
        <w:t xml:space="preserve">BETWEEN </w:t>
      </w:r>
      <w:r w:rsidR="009B74E4" w:rsidRPr="0015060F">
        <w:rPr>
          <w:rStyle w:val="A5"/>
          <w:rFonts w:ascii="Times New Roman" w:hAnsi="Times New Roman" w:cs="Times New Roman"/>
          <w:color w:val="FF0000"/>
          <w:sz w:val="32"/>
          <w:szCs w:val="32"/>
        </w:rPr>
        <w:t>LITERACY</w:t>
      </w:r>
      <w:r w:rsidR="009B74E4" w:rsidRPr="0015060F">
        <w:rPr>
          <w:rStyle w:val="A5"/>
          <w:rFonts w:ascii="Times New Roman" w:hAnsi="Times New Roman" w:cs="Times New Roman"/>
          <w:b w:val="0"/>
          <w:color w:val="FF0000"/>
          <w:sz w:val="32"/>
          <w:szCs w:val="32"/>
        </w:rPr>
        <w:t xml:space="preserve"> </w:t>
      </w:r>
      <w:r w:rsidR="009B74E4" w:rsidRPr="0015060F">
        <w:rPr>
          <w:rStyle w:val="A5"/>
          <w:rFonts w:ascii="Times New Roman" w:hAnsi="Times New Roman" w:cs="Times New Roman"/>
          <w:b w:val="0"/>
          <w:bCs w:val="0"/>
          <w:color w:val="FF0000"/>
          <w:sz w:val="32"/>
          <w:szCs w:val="32"/>
        </w:rPr>
        <w:t xml:space="preserve">&amp; </w:t>
      </w:r>
      <w:r w:rsidR="009B74E4" w:rsidRPr="0015060F">
        <w:rPr>
          <w:rStyle w:val="A5"/>
          <w:rFonts w:ascii="Times New Roman" w:hAnsi="Times New Roman" w:cs="Times New Roman"/>
          <w:color w:val="FF0000"/>
          <w:sz w:val="32"/>
          <w:szCs w:val="32"/>
        </w:rPr>
        <w:t>HEALTH</w:t>
      </w:r>
    </w:p>
    <w:p w:rsidR="009B74E4" w:rsidRDefault="009B74E4" w:rsidP="009B74E4">
      <w:pPr>
        <w:jc w:val="center"/>
        <w:rPr>
          <w:b/>
          <w:color w:val="FF0000"/>
          <w:sz w:val="32"/>
          <w:szCs w:val="32"/>
        </w:rPr>
      </w:pPr>
      <w:r w:rsidRPr="0015060F">
        <w:rPr>
          <w:color w:val="FF0000"/>
          <w:sz w:val="32"/>
          <w:szCs w:val="32"/>
        </w:rPr>
        <w:t>Using the Power of Story to Build Resilience</w:t>
      </w:r>
      <w:r w:rsidRPr="0015060F">
        <w:rPr>
          <w:b/>
          <w:color w:val="FF0000"/>
          <w:sz w:val="32"/>
          <w:szCs w:val="32"/>
        </w:rPr>
        <w:t>”</w:t>
      </w:r>
    </w:p>
    <w:p w:rsidR="002D442B" w:rsidRPr="00A906BD" w:rsidRDefault="00A906BD" w:rsidP="009B74E4">
      <w:pPr>
        <w:pStyle w:val="NormalWeb"/>
        <w:spacing w:before="0" w:beforeAutospacing="0" w:after="0" w:afterAutospacing="0"/>
        <w:jc w:val="center"/>
        <w:rPr>
          <w:rFonts w:ascii="Times New Roman" w:hAnsi="Times New Roman" w:cs="Times New Roman"/>
          <w:i/>
          <w:color w:val="FF0000"/>
          <w:sz w:val="28"/>
        </w:rPr>
      </w:pPr>
      <w:r w:rsidRPr="00A906BD">
        <w:rPr>
          <w:rFonts w:ascii="Times New Roman" w:hAnsi="Times New Roman" w:cs="Times New Roman"/>
          <w:i/>
          <w:color w:val="FF0000"/>
          <w:sz w:val="28"/>
        </w:rPr>
        <w:t>Talk and panel discussion</w:t>
      </w:r>
    </w:p>
    <w:p w:rsidR="00A906BD" w:rsidRPr="00A906BD" w:rsidRDefault="00A906BD" w:rsidP="009B74E4">
      <w:pPr>
        <w:pStyle w:val="NormalWeb"/>
        <w:spacing w:before="0" w:beforeAutospacing="0" w:after="0" w:afterAutospacing="0"/>
        <w:jc w:val="center"/>
        <w:rPr>
          <w:rFonts w:ascii="Times New Roman" w:hAnsi="Times New Roman" w:cs="Times New Roman"/>
          <w:b/>
          <w:i/>
          <w:color w:val="FF0000"/>
          <w:sz w:val="28"/>
        </w:rPr>
      </w:pPr>
    </w:p>
    <w:p w:rsidR="00E025E2" w:rsidRPr="00E025E2" w:rsidRDefault="00E025E2" w:rsidP="00E025E2">
      <w:pPr>
        <w:jc w:val="center"/>
        <w:rPr>
          <w:rFonts w:eastAsiaTheme="minorHAnsi"/>
          <w:szCs w:val="22"/>
        </w:rPr>
      </w:pPr>
      <w:r w:rsidRPr="00E025E2">
        <w:rPr>
          <w:rFonts w:eastAsiaTheme="minorHAnsi"/>
          <w:b/>
          <w:bCs/>
          <w:sz w:val="28"/>
        </w:rPr>
        <w:t>Greg Worrell</w:t>
      </w:r>
      <w:r w:rsidRPr="00E025E2">
        <w:rPr>
          <w:rFonts w:eastAsiaTheme="minorHAnsi"/>
          <w:sz w:val="28"/>
        </w:rPr>
        <w:t>, President, Scholastic Education</w:t>
      </w:r>
    </w:p>
    <w:p w:rsidR="00E025E2" w:rsidRPr="00E025E2" w:rsidRDefault="00E025E2" w:rsidP="00E025E2">
      <w:pPr>
        <w:jc w:val="center"/>
        <w:rPr>
          <w:rFonts w:eastAsiaTheme="minorHAnsi"/>
          <w:sz w:val="28"/>
        </w:rPr>
      </w:pPr>
      <w:r w:rsidRPr="00E025E2">
        <w:rPr>
          <w:rFonts w:eastAsiaTheme="minorHAnsi"/>
          <w:b/>
          <w:bCs/>
          <w:sz w:val="28"/>
        </w:rPr>
        <w:t>Janelle Cherrington</w:t>
      </w:r>
      <w:r w:rsidRPr="00E025E2">
        <w:rPr>
          <w:rFonts w:eastAsiaTheme="minorHAnsi"/>
          <w:sz w:val="28"/>
        </w:rPr>
        <w:t>, SVP, Publisher, Scholastic Education</w:t>
      </w:r>
    </w:p>
    <w:p w:rsidR="00E025E2" w:rsidRPr="00E025E2" w:rsidRDefault="00E025E2" w:rsidP="00E025E2">
      <w:pPr>
        <w:jc w:val="center"/>
        <w:rPr>
          <w:rFonts w:eastAsiaTheme="minorHAnsi"/>
          <w:sz w:val="28"/>
        </w:rPr>
      </w:pPr>
      <w:r w:rsidRPr="00E025E2">
        <w:rPr>
          <w:rFonts w:eastAsiaTheme="minorHAnsi"/>
          <w:b/>
          <w:bCs/>
          <w:sz w:val="28"/>
        </w:rPr>
        <w:t>Karen Baicker,</w:t>
      </w:r>
      <w:r w:rsidRPr="00E025E2">
        <w:rPr>
          <w:rFonts w:eastAsiaTheme="minorHAnsi"/>
          <w:sz w:val="28"/>
        </w:rPr>
        <w:t xml:space="preserve"> Publisher, Family &amp; Community Engagement</w:t>
      </w:r>
    </w:p>
    <w:p w:rsidR="00C56D8A" w:rsidRPr="00E025E2" w:rsidRDefault="004B7394" w:rsidP="00C56D8A">
      <w:pPr>
        <w:spacing w:before="240"/>
        <w:jc w:val="center"/>
        <w:rPr>
          <w:b/>
        </w:rPr>
      </w:pPr>
      <w:r w:rsidRPr="00E025E2">
        <w:rPr>
          <w:b/>
        </w:rPr>
        <w:t xml:space="preserve">Date: </w:t>
      </w:r>
      <w:r w:rsidR="00E025E2" w:rsidRPr="00E025E2">
        <w:rPr>
          <w:b/>
        </w:rPr>
        <w:t>April 9, 2019 @ 1:00</w:t>
      </w:r>
      <w:r w:rsidR="00DE5BB6">
        <w:rPr>
          <w:b/>
        </w:rPr>
        <w:t>-2:15</w:t>
      </w:r>
    </w:p>
    <w:p w:rsidR="00C56D8A" w:rsidRDefault="004B7394" w:rsidP="00C56D8A">
      <w:pPr>
        <w:jc w:val="center"/>
        <w:rPr>
          <w:b/>
        </w:rPr>
      </w:pPr>
      <w:r w:rsidRPr="00E025E2">
        <w:rPr>
          <w:b/>
        </w:rPr>
        <w:t xml:space="preserve">Location: </w:t>
      </w:r>
      <w:r w:rsidR="00E025E2">
        <w:rPr>
          <w:b/>
        </w:rPr>
        <w:t>Cohen Auditorium</w:t>
      </w:r>
    </w:p>
    <w:p w:rsidR="00DE5BB6" w:rsidRDefault="00DE5BB6" w:rsidP="00C56D8A">
      <w:pPr>
        <w:jc w:val="center"/>
        <w:rPr>
          <w:b/>
          <w:sz w:val="22"/>
        </w:rPr>
      </w:pPr>
    </w:p>
    <w:p w:rsidR="00DE5BB6" w:rsidRPr="00DE5BB6" w:rsidRDefault="00DE5BB6" w:rsidP="00C56D8A">
      <w:pPr>
        <w:jc w:val="center"/>
        <w:rPr>
          <w:b/>
          <w:i/>
          <w:color w:val="FF0000"/>
          <w:sz w:val="22"/>
        </w:rPr>
      </w:pPr>
      <w:r>
        <w:rPr>
          <w:b/>
          <w:i/>
          <w:color w:val="FF0000"/>
          <w:sz w:val="22"/>
        </w:rPr>
        <w:t>Reception to follow in Cohen</w:t>
      </w:r>
    </w:p>
    <w:p w:rsidR="00C56D8A" w:rsidRPr="00E025E2" w:rsidRDefault="00C56D8A" w:rsidP="00C56D8A">
      <w:pPr>
        <w:rPr>
          <w:b/>
          <w:sz w:val="28"/>
          <w:szCs w:val="28"/>
        </w:rPr>
      </w:pPr>
    </w:p>
    <w:p w:rsidR="00C56D8A" w:rsidRPr="00E025E2" w:rsidRDefault="004B7394" w:rsidP="00C56D8A">
      <w:pPr>
        <w:jc w:val="center"/>
        <w:rPr>
          <w:b/>
        </w:rPr>
      </w:pPr>
      <w:r w:rsidRPr="00E025E2">
        <w:rPr>
          <w:b/>
        </w:rPr>
        <w:t>Host</w:t>
      </w:r>
      <w:r w:rsidR="00C56D8A" w:rsidRPr="00E025E2">
        <w:rPr>
          <w:b/>
        </w:rPr>
        <w:t xml:space="preserve">: </w:t>
      </w:r>
      <w:r w:rsidR="00A906BD">
        <w:rPr>
          <w:b/>
        </w:rPr>
        <w:t>Linda Mayes, MD</w:t>
      </w:r>
    </w:p>
    <w:p w:rsidR="00C56D8A" w:rsidRPr="00E025E2" w:rsidRDefault="00C56D8A" w:rsidP="00C56D8A">
      <w:pPr>
        <w:spacing w:before="240"/>
        <w:jc w:val="center"/>
        <w:rPr>
          <w:b/>
          <w:i/>
          <w:sz w:val="22"/>
          <w:szCs w:val="22"/>
        </w:rPr>
      </w:pPr>
      <w:r w:rsidRPr="00E025E2">
        <w:rPr>
          <w:b/>
          <w:i/>
          <w:sz w:val="22"/>
          <w:szCs w:val="22"/>
        </w:rPr>
        <w:t>There is no corporate support for this activity</w:t>
      </w:r>
    </w:p>
    <w:p w:rsidR="00C56D8A" w:rsidRPr="00E025E2" w:rsidRDefault="00C56D8A" w:rsidP="00C56D8A">
      <w:pPr>
        <w:jc w:val="center"/>
        <w:rPr>
          <w:sz w:val="22"/>
          <w:szCs w:val="22"/>
        </w:rPr>
      </w:pPr>
      <w:r w:rsidRPr="00E025E2">
        <w:rPr>
          <w:sz w:val="22"/>
          <w:szCs w:val="22"/>
        </w:rPr>
        <w:t>This course will fulfill the licensure requirement set forth by the State of Connecticut</w:t>
      </w:r>
    </w:p>
    <w:p w:rsidR="00C56D8A" w:rsidRPr="00E025E2" w:rsidRDefault="00C56D8A" w:rsidP="00C56D8A">
      <w:pPr>
        <w:jc w:val="center"/>
      </w:pPr>
      <w:bookmarkStart w:id="0" w:name="_GoBack"/>
      <w:bookmarkEnd w:id="0"/>
    </w:p>
    <w:p w:rsidR="00C56D8A" w:rsidRPr="00E025E2" w:rsidRDefault="00C56D8A" w:rsidP="00C56D8A">
      <w:pPr>
        <w:jc w:val="center"/>
      </w:pPr>
    </w:p>
    <w:p w:rsidR="00DD2BF3" w:rsidRPr="00E025E2" w:rsidRDefault="00DD2BF3" w:rsidP="00DD2BF3">
      <w:pPr>
        <w:rPr>
          <w:sz w:val="20"/>
          <w:szCs w:val="20"/>
        </w:rPr>
        <w:sectPr w:rsidR="00DD2BF3" w:rsidRPr="00E025E2" w:rsidSect="00C56D8A">
          <w:headerReference w:type="default" r:id="rId7"/>
          <w:pgSz w:w="12240" w:h="15840"/>
          <w:pgMar w:top="720" w:right="720" w:bottom="720" w:left="720" w:header="720" w:footer="720" w:gutter="0"/>
          <w:cols w:space="720"/>
          <w:docGrid w:linePitch="360"/>
        </w:sectPr>
      </w:pPr>
    </w:p>
    <w:p w:rsidR="006631D9" w:rsidRDefault="006631D9" w:rsidP="00DD2BF3">
      <w:pPr>
        <w:rPr>
          <w:b/>
          <w:sz w:val="20"/>
          <w:szCs w:val="20"/>
          <w:u w:val="single"/>
        </w:rPr>
      </w:pPr>
    </w:p>
    <w:p w:rsidR="00DD2BF3" w:rsidRPr="00E025E2" w:rsidRDefault="00DD2BF3" w:rsidP="00DD2BF3">
      <w:pPr>
        <w:rPr>
          <w:b/>
          <w:sz w:val="20"/>
          <w:szCs w:val="20"/>
          <w:u w:val="single"/>
        </w:rPr>
      </w:pPr>
      <w:r w:rsidRPr="00E025E2">
        <w:rPr>
          <w:b/>
          <w:sz w:val="20"/>
          <w:szCs w:val="20"/>
          <w:u w:val="single"/>
        </w:rPr>
        <w:t>ACCREDITATION</w:t>
      </w:r>
    </w:p>
    <w:p w:rsidR="00DD2BF3" w:rsidRPr="00E025E2" w:rsidRDefault="00DD2BF3" w:rsidP="00DD2BF3">
      <w:pPr>
        <w:rPr>
          <w:sz w:val="20"/>
          <w:szCs w:val="20"/>
        </w:rPr>
      </w:pPr>
      <w:r w:rsidRPr="00E025E2">
        <w:rPr>
          <w:sz w:val="20"/>
          <w:szCs w:val="20"/>
        </w:rPr>
        <w:t>The Yale School of Medicine is accredited by the Accreditation Council for Continuing Medical Education to provide continuing medical education for physicians.</w:t>
      </w:r>
    </w:p>
    <w:p w:rsidR="00DD2BF3" w:rsidRPr="00E025E2" w:rsidRDefault="00DD2BF3" w:rsidP="00DD2BF3">
      <w:pPr>
        <w:rPr>
          <w:sz w:val="20"/>
          <w:szCs w:val="20"/>
        </w:rPr>
      </w:pPr>
    </w:p>
    <w:p w:rsidR="00DD2BF3" w:rsidRPr="00E025E2" w:rsidRDefault="00DD2BF3" w:rsidP="00DD2BF3">
      <w:pPr>
        <w:rPr>
          <w:b/>
          <w:sz w:val="20"/>
          <w:szCs w:val="20"/>
          <w:u w:val="single"/>
        </w:rPr>
      </w:pPr>
      <w:r w:rsidRPr="00E025E2">
        <w:rPr>
          <w:b/>
          <w:sz w:val="20"/>
          <w:szCs w:val="20"/>
          <w:u w:val="single"/>
        </w:rPr>
        <w:t>TARGET AUDIENCE</w:t>
      </w:r>
    </w:p>
    <w:p w:rsidR="000D05F3" w:rsidRPr="00E025E2" w:rsidRDefault="000D05F3" w:rsidP="000D05F3">
      <w:pPr>
        <w:rPr>
          <w:sz w:val="20"/>
          <w:szCs w:val="20"/>
        </w:rPr>
      </w:pPr>
      <w:r w:rsidRPr="00E025E2">
        <w:rPr>
          <w:sz w:val="20"/>
          <w:szCs w:val="20"/>
        </w:rPr>
        <w:t>Trainees in child psychiatry, psychology, and social work, faculty, clinicians, scientists</w:t>
      </w:r>
    </w:p>
    <w:p w:rsidR="00DD2BF3" w:rsidRPr="00E025E2" w:rsidRDefault="00DD2BF3" w:rsidP="00DD2BF3">
      <w:pPr>
        <w:rPr>
          <w:sz w:val="20"/>
          <w:szCs w:val="20"/>
        </w:rPr>
      </w:pPr>
    </w:p>
    <w:p w:rsidR="00DD2BF3" w:rsidRPr="00E025E2" w:rsidRDefault="00DD2BF3" w:rsidP="00DD2BF3">
      <w:pPr>
        <w:rPr>
          <w:b/>
          <w:sz w:val="20"/>
          <w:szCs w:val="20"/>
          <w:u w:val="single"/>
        </w:rPr>
      </w:pPr>
      <w:r w:rsidRPr="00E025E2">
        <w:rPr>
          <w:b/>
          <w:sz w:val="20"/>
          <w:szCs w:val="20"/>
          <w:u w:val="single"/>
        </w:rPr>
        <w:t>NEEDS ASSESSMENT</w:t>
      </w:r>
    </w:p>
    <w:p w:rsidR="00E025E2" w:rsidRPr="00E025E2" w:rsidRDefault="00E025E2" w:rsidP="00E025E2">
      <w:pPr>
        <w:rPr>
          <w:sz w:val="22"/>
          <w:szCs w:val="22"/>
        </w:rPr>
      </w:pPr>
      <w:r w:rsidRPr="00E025E2">
        <w:rPr>
          <w:sz w:val="20"/>
          <w:szCs w:val="20"/>
        </w:rPr>
        <w:t>Literacy and mental health and well-being have an integrated relationship that is not deeply understood by the education or the mental health community. Through ongoing research, both communities can work together to help address barriers to learning and well-being in children.</w:t>
      </w:r>
    </w:p>
    <w:p w:rsidR="00DD2BF3" w:rsidRPr="00E025E2" w:rsidRDefault="00DD2BF3" w:rsidP="00DD2BF3">
      <w:pPr>
        <w:rPr>
          <w:sz w:val="20"/>
          <w:szCs w:val="20"/>
        </w:rPr>
      </w:pPr>
    </w:p>
    <w:p w:rsidR="00DD2BF3" w:rsidRPr="00E025E2" w:rsidRDefault="00DD2BF3" w:rsidP="00DD2BF3">
      <w:pPr>
        <w:rPr>
          <w:b/>
          <w:sz w:val="20"/>
          <w:szCs w:val="20"/>
          <w:u w:val="single"/>
        </w:rPr>
      </w:pPr>
      <w:r w:rsidRPr="00E025E2">
        <w:rPr>
          <w:b/>
          <w:sz w:val="20"/>
          <w:szCs w:val="20"/>
          <w:u w:val="single"/>
        </w:rPr>
        <w:t>LEARNING OBJECTIVES</w:t>
      </w:r>
    </w:p>
    <w:p w:rsidR="00E025E2" w:rsidRPr="00E025E2" w:rsidRDefault="00DD2BF3" w:rsidP="00E025E2">
      <w:pPr>
        <w:rPr>
          <w:sz w:val="22"/>
          <w:szCs w:val="22"/>
        </w:rPr>
      </w:pPr>
      <w:proofErr w:type="gramStart"/>
      <w:r w:rsidRPr="00E025E2">
        <w:rPr>
          <w:sz w:val="22"/>
          <w:szCs w:val="22"/>
        </w:rPr>
        <w:t>At the conclusion of</w:t>
      </w:r>
      <w:proofErr w:type="gramEnd"/>
      <w:r w:rsidRPr="00E025E2">
        <w:rPr>
          <w:sz w:val="22"/>
          <w:szCs w:val="22"/>
        </w:rPr>
        <w:t xml:space="preserve"> this activity, participants will:</w:t>
      </w:r>
    </w:p>
    <w:p w:rsidR="00E025E2" w:rsidRPr="00E025E2" w:rsidRDefault="00E025E2" w:rsidP="00E025E2">
      <w:pPr>
        <w:pStyle w:val="ListParagraph"/>
        <w:numPr>
          <w:ilvl w:val="0"/>
          <w:numId w:val="1"/>
        </w:numPr>
        <w:rPr>
          <w:rFonts w:eastAsiaTheme="minorHAnsi"/>
          <w:sz w:val="22"/>
          <w:szCs w:val="22"/>
        </w:rPr>
      </w:pPr>
      <w:r w:rsidRPr="00E025E2">
        <w:rPr>
          <w:rFonts w:eastAsiaTheme="minorHAnsi"/>
          <w:bCs/>
          <w:sz w:val="22"/>
          <w:szCs w:val="22"/>
        </w:rPr>
        <w:t>Recognize the interconnections between literacy and mental health.</w:t>
      </w:r>
    </w:p>
    <w:p w:rsidR="00E025E2" w:rsidRPr="00E025E2" w:rsidRDefault="00E025E2" w:rsidP="00E025E2">
      <w:pPr>
        <w:numPr>
          <w:ilvl w:val="0"/>
          <w:numId w:val="1"/>
        </w:numPr>
        <w:spacing w:before="100" w:beforeAutospacing="1" w:after="100" w:afterAutospacing="1"/>
        <w:rPr>
          <w:rFonts w:eastAsiaTheme="minorHAnsi"/>
          <w:sz w:val="22"/>
          <w:szCs w:val="22"/>
        </w:rPr>
      </w:pPr>
      <w:r w:rsidRPr="00E025E2">
        <w:rPr>
          <w:rFonts w:eastAsiaTheme="minorHAnsi"/>
          <w:bCs/>
          <w:sz w:val="22"/>
          <w:szCs w:val="22"/>
        </w:rPr>
        <w:t>Explore the power of narrative to provide buffers against adversity.</w:t>
      </w:r>
    </w:p>
    <w:p w:rsidR="00E025E2" w:rsidRPr="00E025E2" w:rsidRDefault="00E025E2" w:rsidP="00E025E2">
      <w:pPr>
        <w:numPr>
          <w:ilvl w:val="0"/>
          <w:numId w:val="1"/>
        </w:numPr>
        <w:spacing w:before="100" w:beforeAutospacing="1" w:after="100" w:afterAutospacing="1"/>
        <w:rPr>
          <w:rFonts w:eastAsiaTheme="minorHAnsi"/>
          <w:sz w:val="22"/>
          <w:szCs w:val="22"/>
        </w:rPr>
      </w:pPr>
      <w:r w:rsidRPr="00E025E2">
        <w:rPr>
          <w:rFonts w:eastAsiaTheme="minorHAnsi"/>
          <w:bCs/>
          <w:sz w:val="22"/>
          <w:szCs w:val="22"/>
        </w:rPr>
        <w:t>Identify the ways that stories can build social networks that foster resilience.</w:t>
      </w:r>
    </w:p>
    <w:p w:rsidR="006B7272" w:rsidRPr="00E025E2" w:rsidRDefault="006B7272" w:rsidP="00DD2BF3">
      <w:pPr>
        <w:rPr>
          <w:b/>
          <w:sz w:val="20"/>
          <w:szCs w:val="20"/>
          <w:u w:val="single"/>
        </w:rPr>
      </w:pPr>
    </w:p>
    <w:p w:rsidR="006B7272" w:rsidRPr="00E025E2" w:rsidRDefault="006B7272" w:rsidP="00DD2BF3">
      <w:pPr>
        <w:rPr>
          <w:b/>
          <w:sz w:val="20"/>
          <w:szCs w:val="20"/>
          <w:u w:val="single"/>
        </w:rPr>
      </w:pPr>
    </w:p>
    <w:p w:rsidR="006B7272" w:rsidRPr="00E025E2" w:rsidRDefault="006B7272" w:rsidP="00DD2BF3">
      <w:pPr>
        <w:rPr>
          <w:b/>
          <w:sz w:val="20"/>
          <w:szCs w:val="20"/>
          <w:u w:val="single"/>
        </w:rPr>
      </w:pPr>
    </w:p>
    <w:p w:rsidR="00DD2BF3" w:rsidRPr="00E025E2" w:rsidRDefault="00DD2BF3" w:rsidP="00DD2BF3">
      <w:pPr>
        <w:rPr>
          <w:b/>
          <w:sz w:val="20"/>
          <w:szCs w:val="20"/>
          <w:u w:val="single"/>
        </w:rPr>
      </w:pPr>
      <w:r w:rsidRPr="00E025E2">
        <w:rPr>
          <w:b/>
          <w:sz w:val="20"/>
          <w:szCs w:val="20"/>
          <w:u w:val="single"/>
        </w:rPr>
        <w:t>DESIGNATION STATEMENT</w:t>
      </w:r>
    </w:p>
    <w:p w:rsidR="00DD2BF3" w:rsidRPr="00E025E2" w:rsidRDefault="00DD2BF3" w:rsidP="00DD2BF3">
      <w:pPr>
        <w:rPr>
          <w:sz w:val="20"/>
          <w:szCs w:val="20"/>
        </w:rPr>
      </w:pPr>
      <w:r w:rsidRPr="00E025E2">
        <w:rPr>
          <w:sz w:val="20"/>
          <w:szCs w:val="20"/>
        </w:rPr>
        <w:t xml:space="preserve">The Yale School of Medicine designates this live activity for 1 AMA PRA Category 1 Credit(s)™.  Physicians should only claim the credit commensurate with the extent of their participation in the activity. </w:t>
      </w:r>
    </w:p>
    <w:p w:rsidR="00DD2BF3" w:rsidRPr="00E025E2" w:rsidRDefault="00DD2BF3" w:rsidP="00DD2BF3">
      <w:pPr>
        <w:rPr>
          <w:sz w:val="20"/>
          <w:szCs w:val="20"/>
        </w:rPr>
      </w:pPr>
    </w:p>
    <w:p w:rsidR="004B7394" w:rsidRPr="00E025E2" w:rsidRDefault="004B7394" w:rsidP="00DD2BF3">
      <w:pPr>
        <w:rPr>
          <w:b/>
          <w:sz w:val="20"/>
          <w:szCs w:val="20"/>
          <w:u w:val="single"/>
        </w:rPr>
      </w:pPr>
    </w:p>
    <w:p w:rsidR="00DD2BF3" w:rsidRPr="00E025E2" w:rsidRDefault="00DD2BF3" w:rsidP="00DD2BF3">
      <w:pPr>
        <w:rPr>
          <w:b/>
          <w:sz w:val="20"/>
          <w:szCs w:val="20"/>
          <w:u w:val="single"/>
        </w:rPr>
      </w:pPr>
      <w:r w:rsidRPr="00E025E2">
        <w:rPr>
          <w:b/>
          <w:sz w:val="20"/>
          <w:szCs w:val="20"/>
          <w:u w:val="single"/>
        </w:rPr>
        <w:t>FACULTY DISCLOSURES</w:t>
      </w:r>
    </w:p>
    <w:p w:rsidR="00DD2BF3" w:rsidRDefault="00E025E2" w:rsidP="00DD2BF3">
      <w:pPr>
        <w:rPr>
          <w:sz w:val="20"/>
          <w:szCs w:val="20"/>
        </w:rPr>
      </w:pPr>
      <w:r>
        <w:rPr>
          <w:sz w:val="20"/>
          <w:szCs w:val="20"/>
        </w:rPr>
        <w:t>Greg Worrell</w:t>
      </w:r>
    </w:p>
    <w:p w:rsidR="00DD2BF3" w:rsidRDefault="00E025E2" w:rsidP="00DD2BF3">
      <w:pPr>
        <w:rPr>
          <w:sz w:val="20"/>
          <w:szCs w:val="20"/>
        </w:rPr>
      </w:pPr>
      <w:r>
        <w:rPr>
          <w:sz w:val="20"/>
          <w:szCs w:val="20"/>
        </w:rPr>
        <w:t>Janelle Cherrington</w:t>
      </w:r>
    </w:p>
    <w:p w:rsidR="00E025E2" w:rsidRPr="00E025E2" w:rsidRDefault="00E025E2" w:rsidP="00DD2BF3">
      <w:pPr>
        <w:rPr>
          <w:sz w:val="20"/>
          <w:szCs w:val="20"/>
        </w:rPr>
      </w:pPr>
      <w:r>
        <w:rPr>
          <w:sz w:val="20"/>
          <w:szCs w:val="20"/>
        </w:rPr>
        <w:t>Karen Baicker</w:t>
      </w:r>
    </w:p>
    <w:p w:rsidR="004B7394" w:rsidRPr="00E025E2" w:rsidRDefault="006B7272" w:rsidP="004B7394">
      <w:pPr>
        <w:rPr>
          <w:sz w:val="20"/>
          <w:szCs w:val="20"/>
        </w:rPr>
      </w:pPr>
      <w:r w:rsidRPr="00E025E2">
        <w:rPr>
          <w:sz w:val="20"/>
          <w:szCs w:val="20"/>
        </w:rPr>
        <w:t>Andres Martin:  NONE</w:t>
      </w:r>
    </w:p>
    <w:p w:rsidR="00DD2BF3" w:rsidRPr="00E025E2" w:rsidRDefault="00DD2BF3" w:rsidP="00DD2BF3">
      <w:pPr>
        <w:rPr>
          <w:sz w:val="20"/>
          <w:szCs w:val="20"/>
        </w:rPr>
      </w:pPr>
    </w:p>
    <w:p w:rsidR="00C56D8A" w:rsidRPr="00DD2BF3" w:rsidRDefault="00DD2BF3" w:rsidP="00DD2BF3">
      <w:pPr>
        <w:rPr>
          <w:sz w:val="20"/>
          <w:szCs w:val="20"/>
        </w:rPr>
      </w:pPr>
      <w:r w:rsidRPr="00E025E2">
        <w:rPr>
          <w:sz w:val="20"/>
          <w:szCs w:val="20"/>
        </w:rPr>
        <w:t>It is the policy of Yale School of Medicine, Continuing Medical Education, to ensure balance,</w:t>
      </w:r>
      <w:r w:rsidRPr="00DD2BF3">
        <w:rPr>
          <w:sz w:val="20"/>
          <w:szCs w:val="20"/>
        </w:rPr>
        <w:t xml:space="preserv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1" name="Picture 1"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70B2"/>
    <w:multiLevelType w:val="multilevel"/>
    <w:tmpl w:val="4C282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5060F"/>
    <w:rsid w:val="002D442B"/>
    <w:rsid w:val="00456098"/>
    <w:rsid w:val="004B7394"/>
    <w:rsid w:val="006631D9"/>
    <w:rsid w:val="006B7272"/>
    <w:rsid w:val="00757C75"/>
    <w:rsid w:val="007A7132"/>
    <w:rsid w:val="009B74E4"/>
    <w:rsid w:val="00A46992"/>
    <w:rsid w:val="00A906BD"/>
    <w:rsid w:val="00C11A1C"/>
    <w:rsid w:val="00C45D58"/>
    <w:rsid w:val="00C56D8A"/>
    <w:rsid w:val="00DD2BF3"/>
    <w:rsid w:val="00DE5BB6"/>
    <w:rsid w:val="00DF5E20"/>
    <w:rsid w:val="00E025E2"/>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2CBC08"/>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E025E2"/>
    <w:pPr>
      <w:ind w:left="720"/>
      <w:contextualSpacing/>
    </w:pPr>
  </w:style>
  <w:style w:type="paragraph" w:styleId="NormalWeb">
    <w:name w:val="Normal (Web)"/>
    <w:basedOn w:val="Normal"/>
    <w:uiPriority w:val="99"/>
    <w:unhideWhenUsed/>
    <w:rsid w:val="002D442B"/>
    <w:pPr>
      <w:spacing w:before="100" w:beforeAutospacing="1" w:after="100" w:afterAutospacing="1"/>
    </w:pPr>
    <w:rPr>
      <w:rFonts w:ascii="Calibri" w:eastAsiaTheme="minorHAnsi" w:hAnsi="Calibri" w:cs="Calibri"/>
      <w:sz w:val="22"/>
      <w:szCs w:val="22"/>
    </w:rPr>
  </w:style>
  <w:style w:type="paragraph" w:customStyle="1" w:styleId="Pa6">
    <w:name w:val="Pa6"/>
    <w:basedOn w:val="Normal"/>
    <w:next w:val="Normal"/>
    <w:uiPriority w:val="99"/>
    <w:rsid w:val="009B74E4"/>
    <w:pPr>
      <w:autoSpaceDE w:val="0"/>
      <w:autoSpaceDN w:val="0"/>
      <w:adjustRightInd w:val="0"/>
      <w:spacing w:line="421" w:lineRule="atLeast"/>
    </w:pPr>
    <w:rPr>
      <w:rFonts w:ascii="Museo Sans 300" w:eastAsiaTheme="minorHAnsi" w:hAnsi="Museo Sans 300" w:cstheme="minorBidi"/>
    </w:rPr>
  </w:style>
  <w:style w:type="character" w:customStyle="1" w:styleId="A5">
    <w:name w:val="A5"/>
    <w:uiPriority w:val="99"/>
    <w:rsid w:val="009B74E4"/>
    <w:rPr>
      <w:rFonts w:cs="Museo Sans 300"/>
      <w:b/>
      <w:bCs/>
      <w:color w:val="40404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241">
      <w:bodyDiv w:val="1"/>
      <w:marLeft w:val="0"/>
      <w:marRight w:val="0"/>
      <w:marTop w:val="0"/>
      <w:marBottom w:val="0"/>
      <w:divBdr>
        <w:top w:val="none" w:sz="0" w:space="0" w:color="auto"/>
        <w:left w:val="none" w:sz="0" w:space="0" w:color="auto"/>
        <w:bottom w:val="none" w:sz="0" w:space="0" w:color="auto"/>
        <w:right w:val="none" w:sz="0" w:space="0" w:color="auto"/>
      </w:divBdr>
    </w:div>
    <w:div w:id="180290753">
      <w:bodyDiv w:val="1"/>
      <w:marLeft w:val="0"/>
      <w:marRight w:val="0"/>
      <w:marTop w:val="0"/>
      <w:marBottom w:val="0"/>
      <w:divBdr>
        <w:top w:val="none" w:sz="0" w:space="0" w:color="auto"/>
        <w:left w:val="none" w:sz="0" w:space="0" w:color="auto"/>
        <w:bottom w:val="none" w:sz="0" w:space="0" w:color="auto"/>
        <w:right w:val="none" w:sz="0" w:space="0" w:color="auto"/>
      </w:divBdr>
    </w:div>
    <w:div w:id="195705587">
      <w:bodyDiv w:val="1"/>
      <w:marLeft w:val="0"/>
      <w:marRight w:val="0"/>
      <w:marTop w:val="0"/>
      <w:marBottom w:val="0"/>
      <w:divBdr>
        <w:top w:val="none" w:sz="0" w:space="0" w:color="auto"/>
        <w:left w:val="none" w:sz="0" w:space="0" w:color="auto"/>
        <w:bottom w:val="none" w:sz="0" w:space="0" w:color="auto"/>
        <w:right w:val="none" w:sz="0" w:space="0" w:color="auto"/>
      </w:divBdr>
    </w:div>
    <w:div w:id="78211074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2019-03-27T18:06:00Z</cp:lastPrinted>
  <dcterms:created xsi:type="dcterms:W3CDTF">2019-03-27T18:07:00Z</dcterms:created>
  <dcterms:modified xsi:type="dcterms:W3CDTF">2019-03-27T18:07:00Z</dcterms:modified>
</cp:coreProperties>
</file>