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2214" w14:textId="33408CF5" w:rsidR="000A4A5D" w:rsidRDefault="00FB435B" w:rsidP="00085C7A">
      <w:pPr>
        <w:tabs>
          <w:tab w:val="right" w:pos="9360"/>
        </w:tabs>
      </w:pPr>
      <w:r>
        <w:tab/>
      </w:r>
    </w:p>
    <w:p w14:paraId="00F7CE2F" w14:textId="250D1F32" w:rsidR="000D2BA9" w:rsidRPr="00085C7A" w:rsidRDefault="00FB435B" w:rsidP="00085C7A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Internal Medicine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/Rheumatology</w:t>
      </w:r>
    </w:p>
    <w:p w14:paraId="3DAD9659" w14:textId="77777777" w:rsidR="00164471" w:rsidRPr="000D2BA9" w:rsidRDefault="00FB435B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L</w:t>
      </w: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upus Nephritis:  End of the Beginning</w:t>
      </w:r>
    </w:p>
    <w:p w14:paraId="476DB3CB" w14:textId="77777777" w:rsidR="00C86889" w:rsidRPr="00CC0ABE" w:rsidRDefault="00FB435B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9/15/2021 8:00:00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9/15/2021 9:00:00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5697416B" w14:textId="77777777" w:rsidR="00C86889" w:rsidRPr="00AC4DCE" w:rsidRDefault="00FB435B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Rheumatology Grand Rounds is a conference given every Wednesday morning from September to June for </w:t>
      </w:r>
      <w:r>
        <w:t>rheumatology faculty and fellows.</w:t>
      </w:r>
    </w:p>
    <w:p w14:paraId="03B59B70" w14:textId="77777777" w:rsidR="00527E2C" w:rsidRDefault="00FB435B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29468</w:t>
      </w:r>
    </w:p>
    <w:p w14:paraId="3A8F8113" w14:textId="296D250C" w:rsidR="00085C7A" w:rsidRPr="009C1A30" w:rsidRDefault="00085C7A" w:rsidP="00085C7A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>
        <w:rPr>
          <w:rFonts w:ascii="Arial" w:eastAsia="Cambria" w:hAnsi="Arial" w:cs="Arial"/>
          <w:b/>
          <w:bCs/>
          <w:noProof/>
          <w:sz w:val="22"/>
          <w:szCs w:val="22"/>
        </w:rPr>
        <w:drawing>
          <wp:inline distT="0" distB="0" distL="0" distR="0" wp14:anchorId="2FEDE4FC" wp14:editId="458B6417">
            <wp:extent cx="1839980" cy="2090057"/>
            <wp:effectExtent l="0" t="0" r="1905" b="5715"/>
            <wp:docPr id="2" name="Picture 2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416" cy="212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E3C51" w14:textId="77777777" w:rsidR="00527E2C" w:rsidRPr="009C1A30" w:rsidRDefault="00FB435B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211F8" w14:paraId="241B12F7" w14:textId="77777777">
        <w:trPr>
          <w:tblCellSpacing w:w="15" w:type="dxa"/>
        </w:trPr>
        <w:tc>
          <w:tcPr>
            <w:tcW w:w="0" w:type="auto"/>
            <w:vAlign w:val="center"/>
          </w:tcPr>
          <w:p w14:paraId="43CCD52E" w14:textId="77777777" w:rsidR="004211F8" w:rsidRDefault="00FB435B">
            <w:r>
              <w:t>Joseph Craft, MD</w:t>
            </w:r>
          </w:p>
        </w:tc>
      </w:tr>
      <w:tr w:rsidR="004211F8" w14:paraId="2268EDF4" w14:textId="77777777">
        <w:trPr>
          <w:tblCellSpacing w:w="15" w:type="dxa"/>
        </w:trPr>
        <w:tc>
          <w:tcPr>
            <w:tcW w:w="0" w:type="auto"/>
            <w:vAlign w:val="center"/>
          </w:tcPr>
          <w:p w14:paraId="3DB34B9F" w14:textId="24516340" w:rsidR="004211F8" w:rsidRDefault="00085C7A">
            <w:r>
              <w:t>Paul B. Beeson Professor of Medicine and Professor of Immunobiology</w:t>
            </w:r>
          </w:p>
        </w:tc>
      </w:tr>
      <w:tr w:rsidR="004211F8" w14:paraId="1ABD75D3" w14:textId="77777777">
        <w:trPr>
          <w:tblCellSpacing w:w="15" w:type="dxa"/>
        </w:trPr>
        <w:tc>
          <w:tcPr>
            <w:tcW w:w="0" w:type="auto"/>
            <w:vAlign w:val="center"/>
          </w:tcPr>
          <w:p w14:paraId="2E7D5F4A" w14:textId="3E118CF5" w:rsidR="004211F8" w:rsidRDefault="00085C7A">
            <w:r>
              <w:t>Yale School of Medicine</w:t>
            </w:r>
          </w:p>
        </w:tc>
      </w:tr>
    </w:tbl>
    <w:p w14:paraId="715DCE41" w14:textId="77777777" w:rsidR="004211F8" w:rsidRDefault="004211F8"/>
    <w:p w14:paraId="36BE9311" w14:textId="77777777" w:rsidR="001572B8" w:rsidRDefault="00FB435B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4211F8" w14:paraId="3C0883CC" w14:textId="77777777" w:rsidTr="0042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481CCBF7" w14:textId="77777777" w:rsidR="008F5709" w:rsidRPr="00CC0ABE" w:rsidRDefault="00FB435B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13C9A5F0" w14:textId="77777777" w:rsidR="008F5709" w:rsidRPr="00CC0ABE" w:rsidRDefault="00FB435B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Understand</w:t>
            </w:r>
            <w:r w:rsidRPr="00CC0ABE">
              <w:rPr>
                <w:rFonts w:ascii="Arial" w:eastAsia="Cambria" w:hAnsi="Arial" w:cs="Arial"/>
                <w:noProof/>
              </w:rPr>
              <w:t xml:space="preserve"> stepwise progression of SLE with development of tissue injury.</w:t>
            </w:r>
          </w:p>
          <w:p w14:paraId="39EFAE8C" w14:textId="77777777" w:rsidR="004211F8" w:rsidRPr="00CC0ABE" w:rsidRDefault="00FB435B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Understand biology of tissue injury in the nephritic kidney.</w:t>
            </w:r>
          </w:p>
          <w:p w14:paraId="3B07F9D7" w14:textId="77777777" w:rsidR="008F5709" w:rsidRPr="00CC0ABE" w:rsidRDefault="00FB435B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3 Understand associated therapeutic implications. </w:t>
            </w:r>
          </w:p>
        </w:tc>
      </w:tr>
      <w:tr w:rsidR="004211F8" w14:paraId="1527CB7A" w14:textId="77777777" w:rsidTr="0042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2DB50905" w14:textId="77777777" w:rsidR="008F5709" w:rsidRPr="00CC0ABE" w:rsidRDefault="00FB435B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3AC7D0E3" w14:textId="0F8B99E7" w:rsidR="00085C7A" w:rsidRDefault="00FB435B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="00085C7A">
        <w:rPr>
          <w:rFonts w:ascii="Arial" w:eastAsia="Cambria" w:hAnsi="Arial" w:cs="Arial"/>
          <w:i/>
          <w:sz w:val="16"/>
          <w:szCs w:val="16"/>
        </w:rPr>
        <w:t>Joseph Craft has no financial disclosures.</w:t>
      </w:r>
    </w:p>
    <w:p w14:paraId="7E0FA0F8" w14:textId="77777777" w:rsidR="00C86889" w:rsidRPr="00512139" w:rsidRDefault="00FB435B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389F4F65" w14:textId="77777777" w:rsidR="00C86889" w:rsidRPr="00512139" w:rsidRDefault="00FB435B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52B5A57D" w14:textId="77777777" w:rsidR="00222E80" w:rsidRPr="00CC0ABE" w:rsidRDefault="00FB435B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1D9A9769" w14:textId="77777777" w:rsidR="00B85050" w:rsidRDefault="00FB435B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674A6" w14:textId="77777777" w:rsidR="00FB435B" w:rsidRDefault="00FB435B">
      <w:r>
        <w:separator/>
      </w:r>
    </w:p>
  </w:endnote>
  <w:endnote w:type="continuationSeparator" w:id="0">
    <w:p w14:paraId="17E750D3" w14:textId="77777777" w:rsidR="00FB435B" w:rsidRDefault="00FB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C298A" w14:textId="77777777" w:rsidR="00FB435B" w:rsidRDefault="00FB435B">
      <w:r>
        <w:separator/>
      </w:r>
    </w:p>
  </w:footnote>
  <w:footnote w:type="continuationSeparator" w:id="0">
    <w:p w14:paraId="556B2837" w14:textId="77777777" w:rsidR="00FB435B" w:rsidRDefault="00FB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432B" w14:textId="77777777" w:rsidR="00525504" w:rsidRDefault="00FB435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9105213" wp14:editId="42298582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F8"/>
    <w:rsid w:val="00085C7A"/>
    <w:rsid w:val="004211F8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02944"/>
  <w15:docId w15:val="{7A35AB71-2A05-5144-8FFC-C9EC253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2</cp:revision>
  <dcterms:created xsi:type="dcterms:W3CDTF">2021-09-10T13:17:00Z</dcterms:created>
  <dcterms:modified xsi:type="dcterms:W3CDTF">2021-09-10T13:17:00Z</dcterms:modified>
</cp:coreProperties>
</file>