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1A01BC48" w:rsidR="002F5CD3" w:rsidRPr="0023317D" w:rsidRDefault="00C07CC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B772EB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074A31D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584BBA49" w:rsidR="0084238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6C365B02" w14:textId="77777777" w:rsidR="00FD375C" w:rsidRPr="002F5CD3" w:rsidRDefault="00FD375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</w:p>
    <w:p w14:paraId="1AF8DAAF" w14:textId="6677D8A0" w:rsidR="0084238D" w:rsidRPr="00CD5C50" w:rsidRDefault="0084238D" w:rsidP="00CD5C50">
      <w:pPr>
        <w:spacing w:after="200"/>
        <w:ind w:left="-270" w:right="-450"/>
        <w:jc w:val="center"/>
        <w:rPr>
          <w:rFonts w:ascii="Georgia" w:eastAsia="Cambria" w:hAnsi="Georgia"/>
          <w:b/>
          <w:bCs/>
          <w:noProof/>
          <w:color w:val="0078BF"/>
          <w:sz w:val="32"/>
          <w:szCs w:val="32"/>
        </w:rPr>
      </w:pPr>
      <w:r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“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Moving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B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eyond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O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pioids for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C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hronic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P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ain: Nonpharmacologic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T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reatment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U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se and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O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pioid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T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apering 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O</w:t>
      </w:r>
      <w:r w:rsidR="00CD5C50"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utcomes</w:t>
      </w:r>
      <w:r w:rsidRPr="00CD5C5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”</w:t>
      </w:r>
    </w:p>
    <w:tbl>
      <w:tblPr>
        <w:tblStyle w:val="TableGrid"/>
        <w:tblW w:w="7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</w:tblGrid>
      <w:tr w:rsidR="00E042BA" w14:paraId="4FDA5173" w14:textId="77777777" w:rsidTr="00FD375C">
        <w:trPr>
          <w:trHeight w:val="2298"/>
          <w:jc w:val="center"/>
        </w:trPr>
        <w:tc>
          <w:tcPr>
            <w:tcW w:w="7693" w:type="dxa"/>
          </w:tcPr>
          <w:p w14:paraId="2BE4BF5E" w14:textId="71735770" w:rsidR="00FD375C" w:rsidRDefault="00CD5C50" w:rsidP="00FD375C">
            <w:pPr>
              <w:ind w:left="-1005" w:firstLine="45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70EE637A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175260</wp:posOffset>
                  </wp:positionV>
                  <wp:extent cx="1219200" cy="1828800"/>
                  <wp:effectExtent l="19050" t="19050" r="19050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4FCC139" w14:textId="34530F01" w:rsidR="0084492D" w:rsidRDefault="0084492D" w:rsidP="00FD375C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78E4C84" w14:textId="08BF7441" w:rsidR="00FD375C" w:rsidRDefault="00CD5C50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D5C50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Anne Black, PhD</w:t>
            </w:r>
          </w:p>
          <w:p w14:paraId="521F6CC3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00559A37" w14:textId="59076101" w:rsidR="00FD375C" w:rsidRDefault="00CD5C50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D5C50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Assistant Professor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 Internal Medicine</w:t>
            </w:r>
          </w:p>
          <w:p w14:paraId="5A837EE4" w14:textId="77777777" w:rsidR="00CD5C50" w:rsidRDefault="00CD5C50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4E89BE48" w14:textId="4A8BA762" w:rsidR="00CD5C50" w:rsidRDefault="00CD5C50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D5C50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Research Health Scientist</w:t>
            </w:r>
          </w:p>
          <w:p w14:paraId="68D85FA6" w14:textId="28B9D9BE" w:rsidR="00F3719D" w:rsidRPr="00294073" w:rsidRDefault="00F3719D" w:rsidP="00CD5C50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3644660D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CD5C50">
        <w:rPr>
          <w:rFonts w:ascii="Arial" w:eastAsia="Cambria" w:hAnsi="Arial"/>
          <w:b/>
          <w:bCs/>
          <w:noProof/>
          <w:sz w:val="24"/>
          <w:szCs w:val="24"/>
        </w:rPr>
        <w:t>January 20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CD5C50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25B03AF0" w14:textId="65B27100" w:rsidR="00D92D1C" w:rsidRPr="00D92D1C" w:rsidRDefault="0084238D" w:rsidP="00D92D1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D92D1C" w:rsidRPr="00D92D1C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https://zoom.us/j/95746029979?pwd=QzhPa1FycWYxZFVHT3ZtYlYzN1p3UT09</w:t>
        </w:r>
      </w:hyperlink>
    </w:p>
    <w:p w14:paraId="414CE176" w14:textId="77777777" w:rsidR="00D92D1C" w:rsidRDefault="00D92D1C" w:rsidP="00D92D1C">
      <w:pPr>
        <w:ind w:left="-180" w:firstLine="180"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</w:p>
    <w:p w14:paraId="666052C0" w14:textId="77777777" w:rsidR="00D92D1C" w:rsidRDefault="009C0AA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</w:t>
      </w:r>
    </w:p>
    <w:p w14:paraId="7537EEEF" w14:textId="0EE79C35" w:rsidR="0084238D" w:rsidRPr="0084238D" w:rsidRDefault="0084238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39A8E093" w:rsidR="00693E53" w:rsidRDefault="00693E53"/>
    <w:p w14:paraId="1EBC4D02" w14:textId="77777777" w:rsidR="00D92D1C" w:rsidRDefault="00D92D1C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495A511E" w14:textId="77777777" w:rsidR="00CD5C50" w:rsidRPr="00CD5C50" w:rsidRDefault="00CD5C50" w:rsidP="00CD5C50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CD5C50">
              <w:rPr>
                <w:rFonts w:ascii="Arial" w:eastAsia="Cambria" w:hAnsi="Arial" w:cs="Arial"/>
                <w:b w:val="0"/>
                <w:bCs w:val="0"/>
                <w:noProof/>
              </w:rPr>
              <w:t>1. Describe components of the Whole Health system of care at VA</w:t>
            </w:r>
          </w:p>
          <w:p w14:paraId="28E6BAA6" w14:textId="77777777" w:rsidR="00CD5C50" w:rsidRPr="00CD5C50" w:rsidRDefault="00CD5C50" w:rsidP="00CD5C50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CD5C50">
              <w:rPr>
                <w:rFonts w:ascii="Arial" w:eastAsia="Cambria" w:hAnsi="Arial" w:cs="Arial"/>
                <w:b w:val="0"/>
                <w:bCs w:val="0"/>
                <w:noProof/>
              </w:rPr>
              <w:t>2. Evaluate the association between nonpharmacologic treatment exposure and opioid tapering rate</w:t>
            </w:r>
          </w:p>
          <w:p w14:paraId="21ACC717" w14:textId="36934879" w:rsidR="008F5709" w:rsidRPr="00CC0ABE" w:rsidRDefault="00CD5C50" w:rsidP="00CD5C50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D5C50">
              <w:rPr>
                <w:rFonts w:ascii="Arial" w:eastAsia="Cambria" w:hAnsi="Arial" w:cs="Arial"/>
                <w:b w:val="0"/>
                <w:bCs w:val="0"/>
                <w:noProof/>
              </w:rPr>
              <w:t>3. Consider clinical implications of results and remaining gaps in research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783F7D62" w14:textId="77777777" w:rsidR="00D92D1C" w:rsidRDefault="00D92D1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2A53C04B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D92D1C">
        <w:rPr>
          <w:rFonts w:ascii="Arial" w:eastAsia="Cambria" w:hAnsi="Arial" w:cs="Arial"/>
          <w:i/>
          <w:sz w:val="16"/>
          <w:szCs w:val="16"/>
        </w:rPr>
        <w:t>Dr.</w:t>
      </w:r>
      <w:r w:rsidR="00B772EB" w:rsidRPr="00D92D1C">
        <w:rPr>
          <w:rFonts w:ascii="Arial" w:eastAsia="Cambria" w:hAnsi="Arial" w:cs="Arial"/>
          <w:i/>
          <w:sz w:val="16"/>
          <w:szCs w:val="16"/>
        </w:rPr>
        <w:t xml:space="preserve"> </w:t>
      </w:r>
      <w:r w:rsidR="00CD5C50">
        <w:rPr>
          <w:rFonts w:ascii="Arial" w:eastAsia="Cambria" w:hAnsi="Arial" w:cs="Arial"/>
          <w:i/>
          <w:sz w:val="16"/>
          <w:szCs w:val="16"/>
        </w:rPr>
        <w:t>Black</w:t>
      </w:r>
      <w:r w:rsidR="00B125BF" w:rsidRPr="00D92D1C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D92D1C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CD5C50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660DF3"/>
    <w:rsid w:val="00693E53"/>
    <w:rsid w:val="006B0ECA"/>
    <w:rsid w:val="0084238D"/>
    <w:rsid w:val="0084492D"/>
    <w:rsid w:val="008C1B52"/>
    <w:rsid w:val="008C2E7C"/>
    <w:rsid w:val="009B3A9E"/>
    <w:rsid w:val="009C0AAD"/>
    <w:rsid w:val="00A81D8E"/>
    <w:rsid w:val="00AB598D"/>
    <w:rsid w:val="00AF44A3"/>
    <w:rsid w:val="00B125BF"/>
    <w:rsid w:val="00B445FF"/>
    <w:rsid w:val="00B772EB"/>
    <w:rsid w:val="00BE57F4"/>
    <w:rsid w:val="00C07CCC"/>
    <w:rsid w:val="00C24E8A"/>
    <w:rsid w:val="00CD5C50"/>
    <w:rsid w:val="00D53F38"/>
    <w:rsid w:val="00D92D1C"/>
    <w:rsid w:val="00E042BA"/>
    <w:rsid w:val="00E736BB"/>
    <w:rsid w:val="00F3719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2022-01-07T14:15:00Z</dcterms:created>
  <dcterms:modified xsi:type="dcterms:W3CDTF">2022-01-07T14:15:00Z</dcterms:modified>
</cp:coreProperties>
</file>