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3642" w14:textId="77777777" w:rsidR="000A4A5D" w:rsidRDefault="002B3B8C" w:rsidP="00654C31">
      <w:pPr>
        <w:tabs>
          <w:tab w:val="right" w:pos="9360"/>
        </w:tabs>
      </w:pPr>
      <w:r>
        <w:tab/>
      </w:r>
    </w:p>
    <w:p w14:paraId="48606508" w14:textId="77777777" w:rsidR="000A4A5D" w:rsidRDefault="002B3B8C"/>
    <w:p w14:paraId="3510C2B1" w14:textId="77777777" w:rsidR="000A4A5D" w:rsidRPr="006C29A5" w:rsidRDefault="002B3B8C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 xml:space="preserve">Obstetrics, 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Gynecology and Reproductive Sciences</w:t>
      </w:r>
    </w:p>
    <w:p w14:paraId="5F09D185" w14:textId="77777777" w:rsidR="000D2BA9" w:rsidRDefault="002B3B8C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16B7D7A0" w14:textId="77777777" w:rsidR="00164471" w:rsidRPr="000D2BA9" w:rsidRDefault="002B3B8C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OB/GYN GR: 7 Habits of Highly Fertile People</w:t>
      </w:r>
    </w:p>
    <w:p w14:paraId="25D7D5B7" w14:textId="77777777" w:rsidR="00C86889" w:rsidRPr="00CC0ABE" w:rsidRDefault="002B3B8C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11/4/2021 4:00:00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11/4/2021 5:00:00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642E96FC" w14:textId="77777777" w:rsidR="00C86889" w:rsidRPr="00AC4DCE" w:rsidRDefault="002B3B8C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Weekly Grand Rounds Series (Live Activity and Virtual)</w:t>
      </w:r>
    </w:p>
    <w:p w14:paraId="6A6322A7" w14:textId="77777777" w:rsidR="00527E2C" w:rsidRDefault="002B3B8C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28594</w:t>
      </w:r>
    </w:p>
    <w:p w14:paraId="78354A17" w14:textId="77777777" w:rsidR="00527E2C" w:rsidRPr="009C1A30" w:rsidRDefault="002B3B8C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2F684400" w14:textId="77777777" w:rsidR="00527E2C" w:rsidRPr="009C1A30" w:rsidRDefault="002B3B8C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01EF" w14:paraId="4419DA0E" w14:textId="77777777">
        <w:trPr>
          <w:tblCellSpacing w:w="15" w:type="dxa"/>
        </w:trPr>
        <w:tc>
          <w:tcPr>
            <w:tcW w:w="0" w:type="auto"/>
            <w:vAlign w:val="center"/>
          </w:tcPr>
          <w:p w14:paraId="4E05805A" w14:textId="77777777" w:rsidR="009101EF" w:rsidRDefault="002B3B8C">
            <w:r>
              <w:t>Emily S. Jungheim, MD</w:t>
            </w:r>
          </w:p>
        </w:tc>
      </w:tr>
      <w:tr w:rsidR="009101EF" w14:paraId="5DA5944D" w14:textId="77777777">
        <w:trPr>
          <w:tblCellSpacing w:w="15" w:type="dxa"/>
        </w:trPr>
        <w:tc>
          <w:tcPr>
            <w:tcW w:w="0" w:type="auto"/>
            <w:vAlign w:val="center"/>
          </w:tcPr>
          <w:p w14:paraId="2ECF315D" w14:textId="77777777" w:rsidR="009101EF" w:rsidRDefault="002B3B8C">
            <w:r>
              <w:t>Professor</w:t>
            </w:r>
          </w:p>
        </w:tc>
      </w:tr>
      <w:tr w:rsidR="009101EF" w14:paraId="43E51DE3" w14:textId="77777777">
        <w:trPr>
          <w:tblCellSpacing w:w="15" w:type="dxa"/>
        </w:trPr>
        <w:tc>
          <w:tcPr>
            <w:tcW w:w="0" w:type="auto"/>
            <w:vAlign w:val="center"/>
          </w:tcPr>
          <w:p w14:paraId="34372DCF" w14:textId="77777777" w:rsidR="009101EF" w:rsidRDefault="002B3B8C">
            <w:r>
              <w:t>Northwestern University</w:t>
            </w:r>
          </w:p>
        </w:tc>
      </w:tr>
      <w:tr w:rsidR="009101EF" w14:paraId="0AA492E3" w14:textId="77777777">
        <w:trPr>
          <w:tblCellSpacing w:w="15" w:type="dxa"/>
        </w:trPr>
        <w:tc>
          <w:tcPr>
            <w:tcW w:w="0" w:type="auto"/>
            <w:vAlign w:val="center"/>
          </w:tcPr>
          <w:p w14:paraId="47B87670" w14:textId="77777777" w:rsidR="009101EF" w:rsidRDefault="009101EF"/>
        </w:tc>
      </w:tr>
    </w:tbl>
    <w:p w14:paraId="66A3CD07" w14:textId="77777777" w:rsidR="009101EF" w:rsidRDefault="009101EF"/>
    <w:p w14:paraId="34FD7915" w14:textId="77777777" w:rsidR="001572B8" w:rsidRDefault="002B3B8C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9101EF" w14:paraId="3598DFCB" w14:textId="77777777" w:rsidTr="00910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1AF7E9" w14:textId="77777777" w:rsidR="008F5709" w:rsidRPr="00CC0ABE" w:rsidRDefault="002B3B8C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54A5AB51" w14:textId="77777777" w:rsidR="008F5709" w:rsidRPr="00CC0ABE" w:rsidRDefault="002B3B8C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Review</w:t>
            </w:r>
            <w:r w:rsidRPr="00CC0ABE">
              <w:rPr>
                <w:rFonts w:ascii="Arial" w:eastAsia="Cambria" w:hAnsi="Arial" w:cs="Arial"/>
                <w:noProof/>
              </w:rPr>
              <w:t xml:space="preserve"> evidence linking lifestyle to fertility and reproductive outcomes</w:t>
            </w:r>
          </w:p>
          <w:p w14:paraId="72AA1E0F" w14:textId="77777777" w:rsidR="009101EF" w:rsidRPr="00CC0ABE" w:rsidRDefault="002B3B8C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Discuss the quality of evidence linking lifestyle to fertility and reproductive outcomes</w:t>
            </w:r>
          </w:p>
          <w:p w14:paraId="03502B46" w14:textId="77777777" w:rsidR="008F5709" w:rsidRPr="00CC0ABE" w:rsidRDefault="002B3B8C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Explain data regarding lifestyle and fertility to patients seeking advice on the topic</w:t>
            </w:r>
          </w:p>
        </w:tc>
      </w:tr>
      <w:tr w:rsidR="009101EF" w14:paraId="34B5D9DB" w14:textId="77777777" w:rsidTr="009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44CE2D8A" w14:textId="77777777" w:rsidR="008F5709" w:rsidRPr="00CC0ABE" w:rsidRDefault="002B3B8C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Ob/Gyn</w:t>
            </w:r>
          </w:p>
        </w:tc>
      </w:tr>
    </w:tbl>
    <w:p w14:paraId="3F736E6A" w14:textId="77777777" w:rsidR="00CC0ABE" w:rsidRDefault="002B3B8C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4A5FB9C4" w14:textId="1445E604" w:rsidR="004A543C" w:rsidRDefault="002B3B8C" w:rsidP="002B3B8C">
      <w:pPr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p w14:paraId="5895F4EE" w14:textId="027D4300" w:rsidR="002B3B8C" w:rsidRDefault="002B3B8C" w:rsidP="002B3B8C">
      <w:pPr>
        <w:rPr>
          <w:sz w:val="16"/>
          <w:szCs w:val="16"/>
        </w:rPr>
      </w:pPr>
      <w:r>
        <w:rPr>
          <w:sz w:val="16"/>
          <w:szCs w:val="16"/>
        </w:rPr>
        <w:t>Emily Jungheim</w:t>
      </w:r>
      <w:r>
        <w:rPr>
          <w:sz w:val="16"/>
          <w:szCs w:val="16"/>
        </w:rPr>
        <w:t>, MD faculty for this educational activity, has no relevant financial relationship(s) with ineligible companies to disclose</w:t>
      </w:r>
    </w:p>
    <w:p w14:paraId="48870654" w14:textId="7F0A8F5E" w:rsidR="002B3B8C" w:rsidRDefault="002B3B8C" w:rsidP="002B3B8C">
      <w:pPr>
        <w:rPr>
          <w:sz w:val="16"/>
          <w:szCs w:val="16"/>
        </w:rPr>
      </w:pPr>
    </w:p>
    <w:p w14:paraId="532AF498" w14:textId="77777777" w:rsidR="002B3B8C" w:rsidRDefault="002B3B8C" w:rsidP="002B3B8C">
      <w:pPr>
        <w:rPr>
          <w:rFonts w:ascii="Arial" w:eastAsia="Cambria" w:hAnsi="Arial" w:cs="Arial"/>
          <w:i/>
          <w:sz w:val="16"/>
          <w:szCs w:val="16"/>
        </w:rPr>
      </w:pPr>
    </w:p>
    <w:p w14:paraId="55666533" w14:textId="77777777" w:rsidR="00C86889" w:rsidRPr="00512139" w:rsidRDefault="002B3B8C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Accreditation Statement: Yale School of Medicine is accredited by the Accreditation Council for Continuing Medical Education (ACCME) to provide continuing medical education for </w:t>
      </w:r>
      <w:r w:rsidRPr="00512139">
        <w:rPr>
          <w:rFonts w:ascii="Arial" w:eastAsia="Cambria" w:hAnsi="Arial" w:cs="Arial"/>
          <w:i/>
          <w:sz w:val="16"/>
          <w:szCs w:val="16"/>
        </w:rPr>
        <w:t>physicians.</w:t>
      </w:r>
    </w:p>
    <w:p w14:paraId="54453CED" w14:textId="77777777" w:rsidR="00C86889" w:rsidRPr="00512139" w:rsidRDefault="002B3B8C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F3F4369" w14:textId="77777777" w:rsidR="00222E80" w:rsidRPr="00CC0ABE" w:rsidRDefault="002B3B8C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>For quest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amy.chmiel@yale.edu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390A01E4" w14:textId="77777777" w:rsidR="00B85050" w:rsidRDefault="002B3B8C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03EF" w14:textId="77777777" w:rsidR="00000000" w:rsidRDefault="002B3B8C">
      <w:r>
        <w:separator/>
      </w:r>
    </w:p>
  </w:endnote>
  <w:endnote w:type="continuationSeparator" w:id="0">
    <w:p w14:paraId="36215815" w14:textId="77777777" w:rsidR="00000000" w:rsidRDefault="002B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4D49" w14:textId="77777777" w:rsidR="00000000" w:rsidRDefault="002B3B8C">
      <w:r>
        <w:separator/>
      </w:r>
    </w:p>
  </w:footnote>
  <w:footnote w:type="continuationSeparator" w:id="0">
    <w:p w14:paraId="4CEFF8E0" w14:textId="77777777" w:rsidR="00000000" w:rsidRDefault="002B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039D" w14:textId="77777777" w:rsidR="00525504" w:rsidRDefault="002B3B8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B49E8F3" wp14:editId="0D7A97BC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F"/>
    <w:rsid w:val="002B3B8C"/>
    <w:rsid w:val="0091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9339"/>
  <w15:docId w15:val="{78903579-3A25-405A-BD4B-E1BCFA7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Chmiel, Amy</cp:lastModifiedBy>
  <cp:revision>2</cp:revision>
  <dcterms:created xsi:type="dcterms:W3CDTF">2021-10-26T14:19:00Z</dcterms:created>
  <dcterms:modified xsi:type="dcterms:W3CDTF">2021-10-26T14:19:00Z</dcterms:modified>
</cp:coreProperties>
</file>